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1579e330828a438b" /></Relationships>
</file>

<file path=word/document.xml><?xml version="1.0" encoding="utf-8"?>
<w:document xmlns:w="http://schemas.openxmlformats.org/wordprocessingml/2006/main">
  <w:body>
    <w:p>
      <w:pPr>
        <w:pStyle w:val="Heading1"/>
      </w:pPr>
      <w:r>
        <w:t xml:space="preserve">GETTYSBURG MONTESSORI CS</w:t>
      </w:r>
    </w:p>
    <w:p>
      <w:r>
        <w:t xml:space="preserve">888 Coleman Road</w:t>
      </w:r>
    </w:p>
    <w:p>
      <w:r>
        <w:t xml:space="preserve">Professional Development Plan (Act 48)  |  2026 - 2029</w:t>
      </w:r>
    </w:p>
    <w:p>
      <w:r>
        <w:br/>
      </w:r>
      <w:r>
        <w:br/>
      </w:r>
      <w:r>
        <w:br/>
      </w:r>
      <w:r>
        <w:br/>
      </w:r>
      <w:r>
        <w:br/>
      </w:r>
      <w:r>
        <w:br/>
      </w:r>
    </w:p>
    <w:p>
      <w:pPr>
        <w:pStyle w:val="Heading2"/>
      </w:pPr>
      <w:r>
        <w:t xml:space="preserve">Act 48</w:t>
      </w:r>
    </w:p>
    <w:p>
      <w:r>
        <w:t xml:space="preserve">Chapter 4 establishes that each school entity shall submit to the Secretary for approval a professional education plan every 3 years as required under Chapter 49, Section 17(a). A school entity shall make its professional education plan available for public inspection and comment for a minimum of 28 days prior to approval of the plan by the school entity’s governing board and submission of the plan to the Secretary.</w:t>
      </w:r>
    </w:p>
    <w:p>
      <w:r>
        <w:t xml:space="preserve">Chapter 49.17, Continuing professional education, establishes that every school entity shall develop a continuing education plan that addresses the following requirements:</w:t>
      </w:r>
    </w:p>
    <w:p>
      <w:pPr>
        <w:pStyle w:val="ListParagraph"/>
        <w:numPr>
          <w:ilvl w:val="0"/>
          <w:numId w:val="2"/>
        </w:numPr>
      </w:pPr>
      <w:r>
        <w:t xml:space="preserve">Includes options for professional development including, but not limited to, activities such as: (i) graduate level coursework; (ii) obtaining a professionally related master’s degree; (iii) department-approved in-service courses; (iv) curriculum development work; and (v) attendance at professional conferences.</w:t>
      </w:r>
    </w:p>
    <w:p>
      <w:pPr>
        <w:pStyle w:val="ListParagraph"/>
        <w:numPr>
          <w:ilvl w:val="0"/>
          <w:numId w:val="2"/>
        </w:numPr>
      </w:pPr>
      <w:r>
        <w:t xml:space="preserve">Deﬁnes terms used including, but not limited to, the following: (i) Professionally related graduate level coursework. (ii) Professionally related master’s degree. (iii) Curriculum development work. (iv) Professional conferences.</w:t>
      </w:r>
    </w:p>
    <w:p>
      <w:pPr>
        <w:pStyle w:val="ListParagraph"/>
        <w:numPr>
          <w:ilvl w:val="0"/>
          <w:numId w:val="2"/>
        </w:numPr>
      </w:pPr>
      <w:r>
        <w:t xml:space="preserve">Developed as speciﬁed in section 1205.1 of the act in which the plan describes the persons who developed the plan and how the persons were selected.</w:t>
      </w:r>
    </w:p>
    <w:p>
      <w:pPr>
        <w:pStyle w:val="ListParagraph"/>
        <w:numPr>
          <w:ilvl w:val="0"/>
          <w:numId w:val="2"/>
        </w:numPr>
      </w:pPr>
      <w:r>
        <w:t xml:space="preserve">Submitted to the Secretary shall be approved by both the professional education committee and the board of the school entity.</w:t>
      </w:r>
    </w:p>
    <w:p>
      <w:pPr>
        <w:pStyle w:val="ListParagraph"/>
        <w:numPr>
          <w:ilvl w:val="0"/>
          <w:numId w:val="2"/>
        </w:numPr>
      </w:pPr>
      <w:r>
        <w:t xml:space="preserve">Includes a section which describes how the professional education needs of the school entity, including those of diverse learners, and its professional employees are to be met through implementation of the plan. The plan must describe how professional development activities will improve language and literacy acquisition for all students and contribute to closing achievement gaps among students.</w:t>
      </w:r>
    </w:p>
    <w:p>
      <w:pPr>
        <w:pStyle w:val="ListParagraph"/>
        <w:numPr>
          <w:ilvl w:val="0"/>
          <w:numId w:val="2"/>
        </w:numPr>
      </w:pPr>
      <w:r>
        <w:t xml:space="preserve">Includes a description of how the school entity will offer all professional employees opportunities to participate in continuing education focused on teaching diverse learners in inclusive settings.</w:t>
      </w:r>
    </w:p>
    <w:p>
      <w:pPr>
        <w:pStyle w:val="ListParagraph"/>
        <w:numPr>
          <w:ilvl w:val="0"/>
          <w:numId w:val="2"/>
        </w:numPr>
      </w:pPr>
      <w:r>
        <w:t xml:space="preserve">A school district that contracts with a community provider to operate a prekindergarten program shall address in the school district’s professional education plan how the school district will offer professional education opportunities to teachers in the community provider’s prekindergarten program.</w:t>
      </w:r>
    </w:p>
    <w:p>
      <w:r>
        <w:t xml:space="preserve">LEA provided professional education meets the education needs of that school entity and its professional employees, so that they may meet the speciﬁc needs of students. Professional education for all levels of an LEA should be based on sound research and promising practices that promotes educators’ skills over the long term.</w:t>
      </w:r>
    </w:p>
    <w:p>
      <w:r>
        <w:t xml:space="preserve">Exemplary professional education for staff:</w:t>
      </w:r>
    </w:p>
    <w:p>
      <w:pPr>
        <w:pStyle w:val="ListParagraph"/>
        <w:numPr>
          <w:ilvl w:val="0"/>
          <w:numId w:val="3"/>
        </w:numPr>
      </w:pPr>
      <w:r>
        <w:t xml:space="preserve">Enhances the educator’s content knowledge in the area of the educator’s certiﬁcation or assignment.</w:t>
      </w:r>
    </w:p>
    <w:p>
      <w:pPr>
        <w:pStyle w:val="ListParagraph"/>
        <w:numPr>
          <w:ilvl w:val="0"/>
          <w:numId w:val="3"/>
        </w:numPr>
      </w:pPr>
      <w:r>
        <w:t xml:space="preserve">Increases the educator’s teaching skills based on research on effective practice, with attention given to interventions for struggling students. </w:t>
      </w:r>
    </w:p>
    <w:p>
      <w:pPr>
        <w:pStyle w:val="ListParagraph"/>
        <w:numPr>
          <w:ilvl w:val="0"/>
          <w:numId w:val="3"/>
        </w:numPr>
      </w:pPr>
      <w:r>
        <w:t xml:space="preserve">Provides educators with a variety of classroom-based assessment skills and the skills needed to analyze and use data in instructional decision-making.</w:t>
      </w:r>
    </w:p>
    <w:p>
      <w:pPr>
        <w:pStyle w:val="ListParagraph"/>
        <w:numPr>
          <w:ilvl w:val="0"/>
          <w:numId w:val="3"/>
        </w:numPr>
      </w:pPr>
      <w:r>
        <w:t xml:space="preserve">Empowers educators to work effectively with parents and community partners.</w:t>
      </w:r>
    </w:p>
    <w:p>
      <w:r>
        <w:br/>
      </w:r>
      <w:r>
        <w:br/>
      </w:r>
      <w:r>
        <w:br/>
      </w:r>
      <w:r>
        <w:br/>
      </w:r>
      <w:r>
        <w:br w:type="page"/>
      </w:r>
      <w:r>
        <w:lastRenderedPageBreak/>
      </w:r>
    </w:p>
    <w:p>
      <w:pPr>
        <w:pStyle w:val="Heading2"/>
      </w:pPr>
      <w:r>
        <w:t xml:space="preserve">Profile and Plan Essentials</w:t>
      </w:r>
    </w:p>
    <w:p>
      <w:r>
        <w:t xml:space="preserve">888 Coleman Rd, Gettysburg, PA 17325</w:t>
      </w:r>
    </w:p>
    <w:p>
      <w:r>
        <w:br/>
      </w:r>
    </w:p>
    <w:p>
      <w:r>
        <w:t xml:space="preserve">Dr. Faye Pleso</w:t>
      </w:r>
    </w:p>
    <w:p>
      <w:r>
        <w:t xml:space="preserve">fayepleso@gettysburgmontessoricharter.org</w:t>
      </w:r>
    </w:p>
    <w:p>
      <w:r>
        <w:t xml:space="preserve">7173341120 X 114</w:t>
      </w:r>
    </w:p>
    <w:p>
      <w:r>
        <w:br/>
      </w:r>
    </w:p>
    <w:p>
      <w:r>
        <w:t xml:space="preserve">Dr. Faye Pleso</w:t>
      </w:r>
    </w:p>
    <w:p>
      <w:r>
        <w:t xml:space="preserve">fayepleso@gettysburgmontessoricharter.org</w:t>
      </w:r>
    </w:p>
    <w:p>
      <w:r>
        <w:br/>
      </w:r>
      <w:r>
        <w:br/>
      </w:r>
      <w:r>
        <w:br/>
      </w:r>
      <w:r>
        <w:br w:type="page"/>
      </w:r>
      <w:r>
        <w:lastRenderedPageBreak/>
      </w:r>
    </w:p>
    <w:p>
      <w:pPr>
        <w:pStyle w:val="Heading2"/>
      </w:pPr>
      <w:r>
        <w:t xml:space="preserve">Steering Committee</w:t>
      </w:r>
    </w:p>
    <w:p>
      <w:pPr>
        <w:pStyle w:val="Caption"/>
      </w:pPr>
      <w:r>
        <w:fldChar w:fldCharType="begin"/>
      </w:r>
      <w:r>
        <w:instrText xml:space="preserve"> SEQ TABLE \* ARABIC </w:instrText>
      </w:r>
      <w:r>
        <w:fldChar w:fldCharType="end"/>
      </w:r>
      <w:r>
        <w:t xml:space="preserve">Steering Committee</w:t>
      </w:r>
    </w:p>
    <w:tbl>
      <w:tblPr>
        <w:tblStyle w:val="TableGrid"/>
        <w:tblW w:w="0" w:type="auto"/>
      </w:tblPr>
      <w:tblGrid>
        <w:gridCol/>
        <w:gridCol/>
        <w:gridCol/>
        <w:gridCol/>
      </w:tblGrid>
      <w:tr>
        <w:tc>
          <w:tcPr>
            <w:vAlign w:val="center"/>
          </w:tcPr>
          <w:p>
            <w:r>
              <w:t xml:space="preserve">Name</w:t>
            </w:r>
          </w:p>
        </w:tc>
        <w:tc>
          <w:tcPr>
            <w:vAlign w:val="center"/>
          </w:tcPr>
          <w:p>
            <w:r>
              <w:t xml:space="preserve">Title</w:t>
            </w:r>
          </w:p>
        </w:tc>
        <w:tc>
          <w:tcPr>
            <w:vAlign w:val="center"/>
          </w:tcPr>
          <w:p>
            <w:r>
              <w:t xml:space="preserve">Committee Role</w:t>
            </w:r>
          </w:p>
        </w:tc>
        <w:tc>
          <w:tcPr>
            <w:vAlign w:val="center"/>
          </w:tcPr>
          <w:p>
            <w:r>
              <w:t xml:space="preserve">Appointed By</w:t>
            </w:r>
          </w:p>
        </w:tc>
      </w:tr>
      <w:tr>
        <w:tc>
          <w:tcPr>
            <w:vAlign w:val="center"/>
          </w:tcPr>
          <w:p>
            <w:r>
              <w:t xml:space="preserve">Dr. Faye Pleso</w:t>
            </w:r>
          </w:p>
        </w:tc>
        <w:tc>
          <w:tcPr>
            <w:vAlign w:val="center"/>
          </w:tcPr>
          <w:p>
            <w:r>
              <w:t xml:space="preserve">CEO/Principal</w:t>
            </w:r>
          </w:p>
        </w:tc>
        <w:tc>
          <w:tcPr>
            <w:vAlign w:val="center"/>
          </w:tcPr>
          <w:p>
            <w:r>
              <w:t xml:space="preserve">Administrator</w:t>
            </w:r>
          </w:p>
        </w:tc>
        <w:tc>
          <w:tcPr>
            <w:vAlign w:val="center"/>
          </w:tcPr>
          <w:p>
            <w:r>
              <w:t xml:space="preserve">School Board of Directors</w:t>
            </w:r>
          </w:p>
        </w:tc>
      </w:tr>
      <w:tr>
        <w:tc>
          <w:tcPr>
            <w:vAlign w:val="center"/>
          </w:tcPr>
          <w:p>
            <w:r>
              <w:t xml:space="preserve">Dr. Tammy Hogan</w:t>
            </w:r>
          </w:p>
        </w:tc>
        <w:tc>
          <w:tcPr>
            <w:vAlign w:val="center"/>
          </w:tcPr>
          <w:p>
            <w:r>
              <w:t xml:space="preserve">Assistant Principal</w:t>
            </w:r>
          </w:p>
        </w:tc>
        <w:tc>
          <w:tcPr>
            <w:vAlign w:val="center"/>
          </w:tcPr>
          <w:p>
            <w:r>
              <w:t xml:space="preserve">Administrator</w:t>
            </w:r>
          </w:p>
        </w:tc>
        <w:tc>
          <w:tcPr>
            <w:vAlign w:val="center"/>
          </w:tcPr>
          <w:p>
            <w:r>
              <w:t xml:space="preserve">Administration Personnel</w:t>
            </w:r>
          </w:p>
        </w:tc>
      </w:tr>
      <w:tr>
        <w:tc>
          <w:tcPr>
            <w:vAlign w:val="center"/>
          </w:tcPr>
          <w:p>
            <w:r>
              <w:t xml:space="preserve">Rebeka Black</w:t>
            </w:r>
          </w:p>
        </w:tc>
        <w:tc>
          <w:tcPr>
            <w:vAlign w:val="center"/>
          </w:tcPr>
          <w:p>
            <w:r>
              <w:t xml:space="preserve">Special Education Coordinator</w:t>
            </w:r>
          </w:p>
        </w:tc>
        <w:tc>
          <w:tcPr>
            <w:vAlign w:val="center"/>
          </w:tcPr>
          <w:p>
            <w:r>
              <w:t xml:space="preserve">Education Specialist</w:t>
            </w:r>
          </w:p>
        </w:tc>
        <w:tc>
          <w:tcPr>
            <w:vAlign w:val="center"/>
          </w:tcPr>
          <w:p>
            <w:r>
              <w:t xml:space="preserve">Education Specialist</w:t>
            </w:r>
          </w:p>
        </w:tc>
      </w:tr>
      <w:tr>
        <w:tc>
          <w:tcPr>
            <w:vAlign w:val="center"/>
          </w:tcPr>
          <w:p>
            <w:r>
              <w:t xml:space="preserve">Nicole Gulden</w:t>
            </w:r>
          </w:p>
        </w:tc>
        <w:tc>
          <w:tcPr>
            <w:vAlign w:val="center"/>
          </w:tcPr>
          <w:p>
            <w:r>
              <w:t xml:space="preserve">Teacher</w:t>
            </w:r>
          </w:p>
        </w:tc>
        <w:tc>
          <w:tcPr>
            <w:vAlign w:val="center"/>
          </w:tcPr>
          <w:p>
            <w:r>
              <w:t xml:space="preserve">Elementary Teacher</w:t>
            </w:r>
          </w:p>
        </w:tc>
        <w:tc>
          <w:tcPr>
            <w:vAlign w:val="center"/>
          </w:tcPr>
          <w:p>
            <w:r>
              <w:t xml:space="preserve">Teacher</w:t>
            </w:r>
          </w:p>
        </w:tc>
      </w:tr>
      <w:tr>
        <w:tc>
          <w:tcPr>
            <w:vAlign w:val="center"/>
          </w:tcPr>
          <w:p>
            <w:r>
              <w:t xml:space="preserve">Kelsey Rudy</w:t>
            </w:r>
          </w:p>
        </w:tc>
        <w:tc>
          <w:tcPr>
            <w:vAlign w:val="center"/>
          </w:tcPr>
          <w:p>
            <w:r>
              <w:t xml:space="preserve">Teacher</w:t>
            </w:r>
          </w:p>
        </w:tc>
        <w:tc>
          <w:tcPr>
            <w:vAlign w:val="center"/>
          </w:tcPr>
          <w:p>
            <w:r>
              <w:t xml:space="preserve">Elementary Teacher</w:t>
            </w:r>
          </w:p>
        </w:tc>
        <w:tc>
          <w:tcPr>
            <w:vAlign w:val="center"/>
          </w:tcPr>
          <w:p>
            <w:r>
              <w:t xml:space="preserve">Teacher</w:t>
            </w:r>
          </w:p>
        </w:tc>
      </w:tr>
      <w:tr>
        <w:tc>
          <w:tcPr>
            <w:vAlign w:val="center"/>
          </w:tcPr>
          <w:p>
            <w:r>
              <w:t xml:space="preserve">Shamin Jegan</w:t>
            </w:r>
          </w:p>
        </w:tc>
        <w:tc>
          <w:tcPr>
            <w:vAlign w:val="center"/>
          </w:tcPr>
          <w:p>
            <w:r>
              <w:t xml:space="preserve">Teacher</w:t>
            </w:r>
          </w:p>
        </w:tc>
        <w:tc>
          <w:tcPr>
            <w:vAlign w:val="center"/>
          </w:tcPr>
          <w:p>
            <w:r>
              <w:t xml:space="preserve">Education Specialist</w:t>
            </w:r>
          </w:p>
        </w:tc>
        <w:tc>
          <w:tcPr>
            <w:vAlign w:val="center"/>
          </w:tcPr>
          <w:p>
            <w:r>
              <w:t xml:space="preserve">Education Specialist</w:t>
            </w:r>
          </w:p>
        </w:tc>
      </w:tr>
      <w:tr>
        <w:tc>
          <w:tcPr>
            <w:vAlign w:val="center"/>
          </w:tcPr>
          <w:p>
            <w:r>
              <w:t xml:space="preserve">Anya Conner</w:t>
            </w:r>
          </w:p>
        </w:tc>
        <w:tc>
          <w:tcPr>
            <w:vAlign w:val="center"/>
          </w:tcPr>
          <w:p>
            <w:r>
              <w:t xml:space="preserve">Special Education Teacher</w:t>
            </w:r>
          </w:p>
        </w:tc>
        <w:tc>
          <w:tcPr>
            <w:vAlign w:val="center"/>
          </w:tcPr>
          <w:p>
            <w:r>
              <w:t xml:space="preserve">Education Specialist</w:t>
            </w:r>
          </w:p>
        </w:tc>
        <w:tc>
          <w:tcPr>
            <w:vAlign w:val="center"/>
          </w:tcPr>
          <w:p>
            <w:r>
              <w:t xml:space="preserve">Education Specialist</w:t>
            </w:r>
          </w:p>
        </w:tc>
      </w:tr>
      <w:tr>
        <w:tc>
          <w:tcPr>
            <w:vAlign w:val="center"/>
          </w:tcPr>
          <w:p>
            <w:r>
              <w:t xml:space="preserve">Delaney Massey</w:t>
            </w:r>
          </w:p>
        </w:tc>
        <w:tc>
          <w:tcPr>
            <w:vAlign w:val="center"/>
          </w:tcPr>
          <w:p>
            <w:r>
              <w:t xml:space="preserve">Teacher</w:t>
            </w:r>
          </w:p>
        </w:tc>
        <w:tc>
          <w:tcPr>
            <w:vAlign w:val="center"/>
          </w:tcPr>
          <w:p>
            <w:r>
              <w:t xml:space="preserve">Elementary Teacher</w:t>
            </w:r>
          </w:p>
        </w:tc>
        <w:tc>
          <w:tcPr>
            <w:vAlign w:val="center"/>
          </w:tcPr>
          <w:p>
            <w:r>
              <w:t xml:space="preserve">Teacher</w:t>
            </w:r>
          </w:p>
        </w:tc>
      </w:tr>
      <w:tr>
        <w:tc>
          <w:tcPr>
            <w:vAlign w:val="center"/>
          </w:tcPr>
          <w:p>
            <w:r>
              <w:t xml:space="preserve">Destiny Lawrence</w:t>
            </w:r>
          </w:p>
        </w:tc>
        <w:tc>
          <w:tcPr>
            <w:vAlign w:val="center"/>
          </w:tcPr>
          <w:p>
            <w:r>
              <w:t xml:space="preserve">Teacher</w:t>
            </w:r>
          </w:p>
        </w:tc>
        <w:tc>
          <w:tcPr>
            <w:vAlign w:val="center"/>
          </w:tcPr>
          <w:p>
            <w:r>
              <w:t xml:space="preserve">Elementary Teacher</w:t>
            </w:r>
          </w:p>
        </w:tc>
        <w:tc>
          <w:tcPr>
            <w:vAlign w:val="center"/>
          </w:tcPr>
          <w:p>
            <w:r>
              <w:t xml:space="preserve">Teacher</w:t>
            </w:r>
          </w:p>
        </w:tc>
      </w:tr>
      <w:tr>
        <w:tc>
          <w:tcPr>
            <w:vAlign w:val="center"/>
          </w:tcPr>
          <w:p>
            <w:r>
              <w:t xml:space="preserve">Helayna Thomas</w:t>
            </w:r>
          </w:p>
        </w:tc>
        <w:tc>
          <w:tcPr>
            <w:vAlign w:val="center"/>
          </w:tcPr>
          <w:p>
            <w:r>
              <w:t xml:space="preserve">Teacher</w:t>
            </w:r>
          </w:p>
        </w:tc>
        <w:tc>
          <w:tcPr>
            <w:vAlign w:val="center"/>
          </w:tcPr>
          <w:p>
            <w:r>
              <w:t xml:space="preserve">Elementary Teacher</w:t>
            </w:r>
          </w:p>
        </w:tc>
        <w:tc>
          <w:tcPr>
            <w:vAlign w:val="center"/>
          </w:tcPr>
          <w:p>
            <w:r>
              <w:t xml:space="preserve">Teacher</w:t>
            </w:r>
          </w:p>
        </w:tc>
      </w:tr>
    </w:tbl>
    <w:p>
      <w:pPr>
        <w:pStyle w:val="Heading3"/>
      </w:pPr>
      <w:r>
        <w:t xml:space="preserve">Describe how many times the committee meets in a given year, any subcommittees that are formed and any other relevant information regarding the function of the committee.</w:t>
      </w:r>
    </w:p>
    <w:p>
      <w:r>
        <w:t xml:space="preserve">We have committees and subcommittees that include grade bands, RtI, PD, and teacher-based team meetings. They meet at least 4 times a year.</w:t>
      </w:r>
    </w:p>
    <w:p>
      <w:r>
        <w:br/>
      </w:r>
      <w:r>
        <w:br/>
      </w:r>
      <w:r>
        <w:br/>
      </w:r>
      <w:r>
        <w:br w:type="page"/>
      </w:r>
      <w:r>
        <w:lastRenderedPageBreak/>
      </w:r>
    </w:p>
    <w:p>
      <w:pPr>
        <w:pStyle w:val="Heading2"/>
      </w:pPr>
      <w:r>
        <w:t xml:space="preserve">Action Plans Steps from Comprehensive Plan</w:t>
      </w:r>
    </w:p>
    <w:p>
      <w:r>
        <w:br/>
      </w:r>
      <w:r>
        <w:br/>
      </w:r>
    </w:p>
    <w:p>
      <w:r>
        <w:br w:type="page"/>
      </w:r>
    </w:p>
    <w:p>
      <w:pPr>
        <w:pStyle w:val="Heading2"/>
      </w:pPr>
      <w:r>
        <w:t xml:space="preserve">Other Professional Development Activities</w:t>
      </w:r>
    </w:p>
    <w:p>
      <w:r>
        <w:br/>
      </w:r>
      <w:r>
        <w:br/>
      </w:r>
      <w:r>
        <w:br/>
      </w:r>
      <w:r>
        <w:br w:type="page"/>
      </w:r>
      <w:r>
        <w:lastRenderedPageBreak/>
      </w:r>
    </w:p>
    <w:p>
      <w:pPr>
        <w:pStyle w:val="Heading2"/>
      </w:pPr>
      <w:r>
        <w:t xml:space="preserve">Professional Development Plan Assurances</w:t>
      </w:r>
    </w:p>
    <w:p>
      <w:pPr>
        <w:pStyle w:val="Caption"/>
      </w:pPr>
      <w:r>
        <w:fldChar w:fldCharType="begin"/>
      </w:r>
      <w:r>
        <w:instrText xml:space="preserve"> SEQ TABLE \* ARABIC </w:instrText>
      </w:r>
      <w:r>
        <w:fldChar w:fldCharType="end"/>
      </w:r>
      <w:r>
        <w:t xml:space="preserve">Professional Development Plan Assurances</w:t>
      </w:r>
    </w:p>
    <w:tbl>
      <w:tblPr>
        <w:tblStyle w:val="TableGrid"/>
        <w:tblW w:w="0" w:type="auto"/>
      </w:tblPr>
      <w:tblGrid>
        <w:gridCol/>
        <w:gridCol/>
      </w:tblGrid>
      <w:tr>
        <w:tc>
          <w:tcPr>
            <w:vAlign w:val="center"/>
          </w:tcPr>
          <w:p>
            <w:r>
              <w:t xml:space="preserve">Professional Education Plan Guidelines</w:t>
            </w:r>
          </w:p>
        </w:tc>
        <w:tc>
          <w:tcPr>
            <w:vAlign w:val="center"/>
          </w:tcPr>
          <w:p>
            <w:r>
              <w:t xml:space="preserve">Yes/No</w:t>
            </w:r>
          </w:p>
        </w:tc>
      </w:tr>
      <w:tr>
        <w:tc>
          <w:tcPr>
            <w:vAlign w:val="center"/>
          </w:tcPr>
          <w:p>
            <w:r>
              <w:t xml:space="preserve">Are the professional development activities aligned with the current and applicable Pennsylvania Core Standards or Pennsylvania Academic Standards? </w:t>
            </w:r>
            <w:r>
              <w:t xml:space="preserve">(22 Pa Code, Chapter 4)</w:t>
            </w:r>
          </w:p>
        </w:tc>
        <w:tc>
          <w:tcPr>
            <w:vAlign w:val="center"/>
          </w:tcPr>
          <w:p>
            <w:r>
              <w:t xml:space="preserve">Yes</w:t>
            </w:r>
          </w:p>
        </w:tc>
      </w:tr>
      <w:tr>
        <w:tc>
          <w:tcPr>
            <w:vAlign w:val="center"/>
          </w:tcPr>
          <w:p>
            <w:r>
              <w:t xml:space="preserve">Are the effectiveness of offerings evaluated through multiple measures of student achievement within the context of educator effectiveness to determine impact on student learning, educator effectiveness, and/or school performance? (Act 82 of 2012) aka </w:t>
            </w:r>
            <w:r>
              <w:t xml:space="preserve">(22 Pa Code, 19)</w:t>
            </w:r>
          </w:p>
        </w:tc>
        <w:tc>
          <w:tcPr>
            <w:vAlign w:val="center"/>
          </w:tcPr>
          <w:p>
            <w:r>
              <w:t xml:space="preserve">Yes</w:t>
            </w:r>
          </w:p>
        </w:tc>
      </w:tr>
      <w:tr>
        <w:tc>
          <w:tcPr>
            <w:vAlign w:val="center"/>
          </w:tcPr>
          <w:p>
            <w:r>
              <w:t xml:space="preserve">Are the professional development activities aligned to at least one component of one domain within the Observation and Practice Framework for Teaching?</w:t>
            </w:r>
          </w:p>
        </w:tc>
        <w:tc>
          <w:tcPr>
            <w:vAlign w:val="center"/>
          </w:tcPr>
          <w:p>
            <w:r>
              <w:t xml:space="preserve">Yes</w:t>
            </w:r>
          </w:p>
        </w:tc>
      </w:tr>
      <w:tr>
        <w:tc>
          <w:tcPr>
            <w:vAlign w:val="center"/>
          </w:tcPr>
          <w:p>
            <w:r>
              <w:t xml:space="preserve">Does the professional education plan contain a committee consisting of teacher representatives divided equally among elementary, middle and high school teachers chosen by the teachers, educational specialist representatives chosen by educational specialists and administrative representatives chosen by the administrative personnel? </w:t>
            </w:r>
            <w:r>
              <w:t xml:space="preserve">(Act 48, Section 1205.1)</w:t>
            </w:r>
          </w:p>
        </w:tc>
        <w:tc>
          <w:tcPr>
            <w:vAlign w:val="center"/>
          </w:tcPr>
          <w:p>
            <w:r>
              <w:t xml:space="preserve">Yes</w:t>
            </w:r>
          </w:p>
        </w:tc>
      </w:tr>
      <w:tr>
        <w:tc>
          <w:tcPr>
            <w:vAlign w:val="center"/>
          </w:tcPr>
          <w:p>
            <w:r>
              <w:t xml:space="preserve">Does the committee include parents of children attending a school in the district, local business representatives and other individuals representing the community appointed by the board of directors? </w:t>
            </w:r>
            <w:r>
              <w:t xml:space="preserve">(Act 48, Section 1205.1)</w:t>
            </w:r>
          </w:p>
        </w:tc>
        <w:tc>
          <w:tcPr>
            <w:vAlign w:val="center"/>
          </w:tcPr>
          <w:p>
            <w:r>
              <w:t xml:space="preserve">Yes</w:t>
            </w:r>
          </w:p>
        </w:tc>
      </w:tr>
      <w:tr>
        <w:tc>
          <w:tcPr>
            <w:vAlign w:val="center"/>
          </w:tcPr>
          <w:p>
            <w:r>
              <w:t xml:space="preserve">Was the professional education plan approved by the professional education committee and the board of the school entity? </w:t>
            </w:r>
            <w:r>
              <w:t xml:space="preserve">(22 pa Code, 49.16)</w:t>
            </w:r>
          </w:p>
        </w:tc>
        <w:tc>
          <w:tcPr>
            <w:vAlign w:val="center"/>
          </w:tcPr>
          <w:p>
            <w:r>
              <w:t xml:space="preserve">Yes</w:t>
            </w:r>
          </w:p>
        </w:tc>
      </w:tr>
      <w:tr>
        <w:tc>
          <w:tcPr>
            <w:vAlign w:val="center"/>
          </w:tcPr>
          <w:p>
            <w:r>
              <w:t xml:space="preserve">Does the professional development plan align with educator needs?  (Act 48, Section 2)</w:t>
            </w:r>
          </w:p>
        </w:tc>
        <w:tc>
          <w:tcPr>
            <w:vAlign w:val="center"/>
          </w:tcPr>
          <w:p>
            <w:r>
              <w:t xml:space="preserve">Yes</w:t>
            </w:r>
          </w:p>
        </w:tc>
      </w:tr>
      <w:tr>
        <w:tc>
          <w:tcPr>
            <w:vAlign w:val="center"/>
          </w:tcPr>
          <w:p>
            <w:r>
              <w:t xml:space="preserve">Do the implementation steps cover at least a three-year implementation horizon?</w:t>
            </w:r>
          </w:p>
        </w:tc>
        <w:tc>
          <w:tcPr>
            <w:vAlign w:val="center"/>
          </w:tcPr>
          <w:p>
            <w:r>
              <w:t xml:space="preserve">Yes</w:t>
            </w:r>
          </w:p>
        </w:tc>
      </w:tr>
      <w:tr>
        <w:tc>
          <w:tcPr>
            <w:vAlign w:val="center"/>
          </w:tcPr>
          <w:p>
            <w:r>
              <w:t xml:space="preserve">When is the first year the LEA will offer Structured Literacy Training to the staff?</w:t>
            </w:r>
          </w:p>
        </w:tc>
        <w:tc>
          <w:tcPr>
            <w:vAlign w:val="center"/>
          </w:tcPr>
          <w:p>
            <w:r>
              <w:t xml:space="preserve">2022-2023</w:t>
            </w:r>
          </w:p>
        </w:tc>
      </w:tr>
      <w:tr>
        <w:tc>
          <w:tcPr>
            <w:vAlign w:val="center"/>
          </w:tcPr>
          <w:p>
            <w:r>
              <w:t xml:space="preserve">Who will receive the Structured Literacy Training in addition to the five required certifications (early childhood, elementary-middle level, special education, ESL, and reading specialist)?</w:t>
            </w:r>
            <w:r>
              <w:br/>
            </w:r>
            <w:r>
              <w:t xml:space="preserve">Art, Music, and PE-certified teachers who pushed into the K-2 classrooms.</w:t>
            </w:r>
          </w:p>
        </w:tc>
        <w:tc>
          <w:tcPr>
            <w:vAlign w:val="center"/>
          </w:tcPr>
          <w:p/>
        </w:tc>
      </w:tr>
      <w:tr>
        <w:tc>
          <w:tcPr>
            <w:vAlign w:val="center"/>
          </w:tcPr>
          <w:p>
            <w:r>
              <w:t xml:space="preserve">Is the LEA using or planning to implement Structured Literacy (Select One)?</w:t>
            </w:r>
            <w:r>
              <w:br/>
            </w:r>
            <w:r>
              <w:t xml:space="preserve">Yes, full implementation.</w:t>
            </w:r>
          </w:p>
        </w:tc>
        <w:tc>
          <w:tcPr>
            <w:vAlign w:val="center"/>
          </w:tcPr>
          <w:p/>
        </w:tc>
      </w:tr>
    </w:tbl>
    <w:p>
      <w:r>
        <w:br/>
      </w:r>
      <w:r>
        <w:br/>
      </w:r>
      <w:r>
        <w:br/>
      </w:r>
      <w:r>
        <w:br w:type="page"/>
      </w:r>
      <w:r>
        <w:lastRenderedPageBreak/>
      </w:r>
    </w:p>
    <w:p>
      <w:pPr>
        <w:pStyle w:val="Heading2"/>
      </w:pPr>
      <w:r>
        <w:t xml:space="preserve">Evaluation and Review</w:t>
      </w:r>
    </w:p>
    <w:p>
      <w:pPr>
        <w:pStyle w:val="Heading3"/>
      </w:pPr>
      <w:r>
        <w:t xml:space="preserve">Describe in the box below the procedures for evaluating and reviewing the Professional Education Plan. </w:t>
      </w:r>
    </w:p>
    <w:p>
      <w:r>
        <w:t xml:space="preserve">1. This plan is reviewed annually to ensure alignment with Chapter 49 (Standards for Professional Education) and Act 55 of 2022 (Structured Literacy and Educator Effectiveness). The review focuses on shifting from simple "participation" to "demonstrated competency" in the use of evidence-based strategies.
2. Annual Review Procedures
The Review Committee will follow a four-step cycle to evaluate the measurable goals:
Step A: Data Integration 
We evaluate the plan's specific strategies, Zones of Regulation, Repeated Reading, and Explicit Instruction, through these lenses:
1.	Reaction: Do teachers feel the "I Do, We Do, You Do" (Explicit Instruction) framework is manageable?
2.	Learning: Can staff demonstrate mastery of Montessori Works focused on Fluency and Algebraic concepts?
3.	Support: Has the school provided the necessary Montessori materials and "Zones" resources for Grades 3-6?
4.	Use of Knowledge: Are observers seeing the "Active Feedback" loop being used in real-time during instruction?
5.	Student Outcomes: Is there a measurable increase in Stamina, Motivation, and Fluency in K-2 and 3-6?
Step B: Strategy-Specific Evidence Review
The committee will audit the following specific focus areas:
•	Fluency (K-2): Review data on rate, accuracy, and prosody gained through Repeated Reading.
•	Zones of Regulation (3-6): Evaluate student self-regulation data to ensure the "Love of Learning" is not hindered by emotional dysregulation.
•	Numbers &amp; Operations: Analyze the conceptual shift in students' foundational math understanding via Explicit Instruction.
Step C: Feedback Analysis
Using the "Active Feedback" strategy, the committee will review "Teachers' Response on Stamina and Motivation." If teacher surveys indicate low confidence or student burnout, the Action Steps will be revised to include more scaffolded support.
________________________________________
3. Measurable Goals &amp; Revision Matrix
The plan is a living document. Revisions occur if the following "Evidence-Based Strategy" benchmarks are not met:
Increase in student "Confidence" and "Don't Worry" indicators.
Improvement in K-2 Fluency benchmarks (Phonics-based).
Mastery of Algebraic Concepts in Grades 3-6.
Timely, specific feedback documented in teacher-student logs.
________________________________________
4. Final Approval of Revisions
Once the review is complete, the updated Action Steps are finalized. Under Act 55, any new literacy-based professional development must remain grounded in Structured Literacy and systematic, phonics-based approaches.
</w:t>
      </w:r>
    </w:p>
    <w:p>
      <w:r>
        <w:br/>
      </w:r>
      <w:r>
        <w:br/>
      </w:r>
      <w:r>
        <w:br/>
      </w:r>
      <w:r>
        <w:br w:type="page"/>
      </w:r>
      <w:r>
        <w:lastRenderedPageBreak/>
      </w:r>
    </w:p>
    <w:p>
      <w:pPr>
        <w:pStyle w:val="Heading2"/>
      </w:pPr>
      <w:r>
        <w:t xml:space="preserve">Professional Education Plan Assurances</w:t>
      </w:r>
    </w:p>
    <w:p>
      <w:r>
        <w:t xml:space="preserve">We affirm that this Professional Education Plan focuses on the learning needs of each staff member to ensure all staff members meet or exceed high academic standards in each of the core subject areas.</w:t>
      </w:r>
    </w:p>
    <w:p>
      <w:r>
        <w:br/>
      </w:r>
      <w:r>
        <w:t xml:space="preserve">Dr. Tammy Hogan</w:t>
      </w:r>
      <w:r>
        <w:br/>
      </w:r>
      <w:r>
        <w:t xml:space="preserve">Professional Education Committee Chairperson:</w:t>
      </w:r>
      <w:r>
        <w:br/>
      </w:r>
      <w:r>
        <w:t xml:space="preserve">02/20/2026</w:t>
      </w:r>
      <w:r>
        <w:br/>
      </w:r>
      <w:r>
        <w:t xml:space="preserve">Date</w:t>
      </w:r>
      <w:r>
        <w:br/>
      </w:r>
      <w:r>
        <w:br/>
      </w:r>
      <w:r>
        <w:br/>
      </w:r>
      <w:r>
        <w:br/>
      </w:r>
      <w:r>
        <w:br/>
      </w:r>
    </w:p>
    <w:p>
      <w:r>
        <w:t xml:space="preserve">I affirm that this Professional Education Plan provides staff learning that improves the learning of all students as outlined in the National Staff Development Council’s Standards for Staff Learning.</w:t>
      </w:r>
    </w:p>
    <w:p>
      <w:r>
        <w:br/>
      </w:r>
      <w:r>
        <w:t xml:space="preserve">Dr. Faye Pleso</w:t>
      </w:r>
      <w:r>
        <w:br/>
      </w:r>
      <w:r>
        <w:t xml:space="preserve">Superintendent or Chief Administrative Officer:</w:t>
      </w:r>
      <w:r>
        <w:br/>
      </w:r>
      <w:r>
        <w:t xml:space="preserve">02/20/2026</w:t>
      </w:r>
      <w:r>
        <w:br/>
      </w:r>
      <w:r>
        <w:t xml:space="preserve">Date</w:t>
      </w:r>
      <w:r>
        <w:br/>
      </w:r>
      <w:r>
        <w:br/>
      </w:r>
      <w:r>
        <w:br/>
      </w:r>
      <w:r>
        <w:br/>
      </w:r>
      <w:r>
        <w:br/>
      </w:r>
    </w:p>
    <w:sectPr>
      <w:pgSz w:w="15840" w:h="12240" w:orient="landscape"/>
      <w:pgMar w:top="720" w:right="720" w:bottom="720" w:left="720"/>
      <w:footerReference xmlns:r="http://schemas.openxmlformats.org/officeDocument/2006/relationships" r:id="R9638aa0d02d94f21"/>
    </w:sectPr>
  </w:body>
</w:document>
</file>

<file path=word/footer1.xml><?xml version="1.0" encoding="utf-8"?>
<w:ftr xmlns:w="http://schemas.openxmlformats.org/wordprocessingml/2006/main">
  <w:p>
    <w:pPr>
      <w:pStyle w:val="Footer"/>
      <w:jc w:val="right"/>
      <w:r>
        <w:fldSimple w:instr="PAGE"/>
      </w:r>
    </w:pPr>
  </w:p>
</w:ftr>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0"/>
    <w:lvlOverride w:ilvl="0">
      <w:startOverride w:val="1"/>
    </w:lvlOverride>
  </w:num>
  <w:num w:numId="3">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Heading1">
    <w:name w:val="heading 1"/>
    <w:basedOn w:val="Normal"/>
    <w:next w:val="Normal"/>
    <w:link w:val="Heading1Char"/>
    <w:qFormat/>
    <w:pPr>
      <w:keepNext/>
      <w:keepLines/>
      <w:spacing w:before="480" w:after="0"/>
      <w:outlineLvl w:val="0"/>
    </w:pPr>
    <w:rPr>
      <w:rFonts w:asciiTheme="majorHAnsi" w:hAnsiTheme="majorHAnsi" w:eastAsiaTheme="majorEastAsia" w:cstheme="majorBidi"/>
      <w:b/>
      <w:bCs/>
      <w:color w:val="2E74B5" w:themeColor="accent1" w:themeShade="BF"/>
      <w:sz w:val="28"/>
      <w:szCs w:val="28"/>
    </w:rPr>
  </w:style>
  <w:style xmlns:w="http://schemas.openxmlformats.org/wordprocessingml/2006/main" w:type="paragraph" w:styleId="Heading2">
    <w:name w:val="heading 2"/>
    <w:basedOn w:val="Normal"/>
    <w:next w:val="Normal"/>
    <w:link w:val="Heading2Char"/>
    <w:unhideWhenUsed/>
    <w:qFormat/>
    <w:pPr>
      <w:keepNext/>
      <w:keepLines/>
      <w:spacing w:before="200" w:after="0"/>
      <w:outlineLvl w:val="1"/>
    </w:pPr>
    <w:rPr>
      <w:rFonts w:asciiTheme="majorHAnsi" w:hAnsiTheme="majorHAnsi" w:eastAsiaTheme="majorEastAsia" w:cstheme="majorBidi"/>
      <w:b/>
      <w:bCs/>
      <w:color w:val="5B9BD5" w:themeColor="accent1"/>
      <w:sz w:val="26"/>
      <w:szCs w:val="26"/>
    </w:rPr>
  </w:style>
  <w:style xmlns:w="http://schemas.openxmlformats.org/wordprocessingml/2006/main" w:type="paragraph" w:styleId="ListParagraph">
    <w:name w:val="List Paragraph"/>
    <w:basedOn w:val="Normal"/>
    <w:qFormat/>
    <w:pPr>
      <w:ind w:start="720"/>
      <w:contextualSpacing/>
    </w:pPr>
  </w:style>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Caption">
    <w:name w:val="caption"/>
    <w:basedOn w:val="Normal"/>
    <w:next w:val="Normal"/>
    <w:unhideWhenUsed/>
    <w:qFormat/>
    <w:pPr>
      <w:spacing w:after="200" w:line="240" w:lineRule="auto"/>
    </w:pPr>
    <w:rPr>
      <w:b/>
      <w:bCs/>
      <w:color w:val="5B9BD5" w:themeColor="accent1"/>
      <w:sz w:val="18"/>
      <w:szCs w:val="18"/>
    </w:rPr>
  </w:style>
  <w:style xmlns:w="http://schemas.openxmlformats.org/wordprocessingml/2006/main" w:type="paragraph" w:styleId="Heading3">
    <w:name w:val="heading 3"/>
    <w:basedOn w:val="Normal"/>
    <w:next w:val="Normal"/>
    <w:link w:val="Heading3Char"/>
    <w:unhideWhenUsed/>
    <w:qFormat/>
    <w:pPr>
      <w:keepNext/>
      <w:keepLines/>
      <w:spacing w:before="200" w:after="0"/>
      <w:outlineLvl w:val="2"/>
    </w:pPr>
    <w:rPr>
      <w:rFonts w:asciiTheme="majorHAnsi" w:hAnsiTheme="majorHAnsi" w:eastAsiaTheme="majorEastAsia" w:cstheme="majorBidi"/>
      <w:b/>
      <w:bCs/>
      <w:color w:val="5B9BD5" w:themeColor="accent1"/>
    </w:rPr>
  </w:style>
</w:styles>
</file>

<file path=word/_rels/document.xml.rels>&#65279;<?xml version="1.0" encoding="utf-8"?><Relationships xmlns="http://schemas.openxmlformats.org/package/2006/relationships"><Relationship Type="http://schemas.openxmlformats.org/officeDocument/2006/relationships/footer" Target="/word/footer1.xml" Id="R9638aa0d02d94f21" /><Relationship Type="http://schemas.openxmlformats.org/officeDocument/2006/relationships/styles" Target="/word/styles.xml" Id="R94a16f63b1ae42e1" /><Relationship Type="http://schemas.openxmlformats.org/officeDocument/2006/relationships/numbering" Target="/word/numbering.xml" Id="R5bd2fa769b4d47eb" /></Relationships>
</file>