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footer1.xml" ContentType="application/vnd.openxmlformats-officedocument.wordprocessingml.footer+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b89faf22fdd74281" /></Relationships>
</file>

<file path=word/document.xml><?xml version="1.0" encoding="utf-8"?>
<w:document xmlns:w="http://schemas.openxmlformats.org/wordprocessingml/2006/main">
  <w:body>
    <w:p>
      <w:r>
        <w:rPr>
          <w:b/>
        </w:rPr>
        <w:t xml:space="preserve">Gettysburg Montessori CS</w:t>
      </w:r>
      <w:r>
        <w:br/>
      </w:r>
      <w:r>
        <w:t xml:space="preserve">Induction Plan (Chapter 49) | 2026 - 2029</w:t>
      </w:r>
      <w:r>
        <w:br/>
      </w:r>
      <w:r>
        <w:br/>
      </w:r>
      <w:r>
        <w:br w:type="page"/>
      </w:r>
      <w:r>
        <w:lastRenderedPageBreak/>
      </w:r>
    </w:p>
    <w:p>
      <w:pPr>
        <w:pStyle w:val="Heading1"/>
      </w:pPr>
      <w:r>
        <w:t xml:space="preserve">Profile</w:t>
      </w:r>
    </w:p>
    <w:tbl>
      <w:tblPr>
        <w:tblStyle w:val="TableGrid"/>
        <w:tblW w:w="0" w:type="auto"/>
      </w:tblPr>
      <w:tblGrid>
        <w:gridCol/>
        <w:gridCol/>
        <w:gridCol/>
      </w:tblGrid>
      <w:tr>
        <w:tc>
          <w:tcPr>
            <w:gridSpan w:val="2"/>
            <w:vAlign w:val="center"/>
          </w:tcPr>
          <w:p>
            <w:r>
              <w:rPr>
                <w:b/>
              </w:rPr>
              <w:t xml:space="preserve">LEA Type</w:t>
            </w:r>
          </w:p>
        </w:tc>
        <w:tc>
          <w:tcPr>
            <w:vAlign w:val="center"/>
          </w:tcPr>
          <w:p>
            <w:r>
              <w:t xml:space="preserve">AUN</w:t>
            </w:r>
          </w:p>
        </w:tc>
      </w:tr>
      <w:tr>
        <w:tc>
          <w:tcPr>
            <w:gridSpan w:val="2"/>
            <w:vAlign w:val="center"/>
          </w:tcPr>
          <w:p/>
        </w:tc>
        <w:tc>
          <w:tcPr>
            <w:vAlign w:val="center"/>
          </w:tcPr>
          <w:p/>
        </w:tc>
      </w:tr>
      <w:tr>
        <w:tc>
          <w:tcPr>
            <w:gridSpan w:val="3"/>
            <w:vAlign w:val="center"/>
          </w:tcPr>
          <w:p>
            <w:r>
              <w:rPr>
                <w:b/>
              </w:rPr>
              <w:t xml:space="preserve">Address 1</w:t>
            </w:r>
          </w:p>
        </w:tc>
      </w:tr>
      <w:tr>
        <w:tc>
          <w:tcPr>
            <w:gridSpan w:val="3"/>
            <w:vAlign w:val="center"/>
          </w:tcPr>
          <w:p>
            <w:r>
              <w:t xml:space="preserve">888 Coleman Rd</w:t>
            </w:r>
          </w:p>
        </w:tc>
      </w:tr>
      <w:tr>
        <w:tc>
          <w:tcPr>
            <w:gridSpan w:val="3"/>
            <w:vAlign w:val="center"/>
          </w:tcPr>
          <w:p>
            <w:r>
              <w:rPr>
                <w:b/>
              </w:rPr>
              <w:t xml:space="preserve">Address 2</w:t>
            </w:r>
          </w:p>
        </w:tc>
      </w:tr>
      <w:tr>
        <w:tc>
          <w:tcPr>
            <w:gridSpan w:val="3"/>
            <w:vAlign w:val="center"/>
          </w:tcPr>
          <w:p/>
        </w:tc>
      </w:tr>
      <w:tr>
        <w:tc>
          <w:tcPr>
            <w:vAlign w:val="center"/>
          </w:tcPr>
          <w:p>
            <w:r>
              <w:rPr>
                <w:b/>
              </w:rPr>
              <w:t xml:space="preserve">City</w:t>
            </w:r>
          </w:p>
        </w:tc>
        <w:tc>
          <w:tcPr>
            <w:vAlign w:val="center"/>
          </w:tcPr>
          <w:p>
            <w:r>
              <w:rPr>
                <w:b/>
              </w:rPr>
              <w:t xml:space="preserve">State</w:t>
            </w:r>
          </w:p>
        </w:tc>
        <w:tc>
          <w:tcPr>
            <w:vAlign w:val="center"/>
          </w:tcPr>
          <w:p>
            <w:r>
              <w:rPr>
                <w:b/>
              </w:rPr>
              <w:t xml:space="preserve">Zip Code</w:t>
            </w:r>
          </w:p>
        </w:tc>
      </w:tr>
      <w:tr>
        <w:tc>
          <w:tcPr>
            <w:vAlign w:val="center"/>
          </w:tcPr>
          <w:p>
            <w:r>
              <w:t xml:space="preserve">Gettysburg</w:t>
            </w:r>
          </w:p>
        </w:tc>
        <w:tc>
          <w:tcPr>
            <w:vAlign w:val="center"/>
          </w:tcPr>
          <w:p>
            <w:r>
              <w:t xml:space="preserve">PA</w:t>
            </w:r>
          </w:p>
        </w:tc>
        <w:tc>
          <w:tcPr>
            <w:vAlign w:val="center"/>
          </w:tcPr>
          <w:p>
            <w:r>
              <w:t xml:space="preserve">17325</w:t>
            </w:r>
          </w:p>
        </w:tc>
      </w:tr>
      <w:tr>
        <w:tc>
          <w:tcPr>
            <w:gridSpan w:val="3"/>
            <w:vAlign w:val="center"/>
          </w:tcPr>
          <w:p>
            <w:r>
              <w:rPr>
                <w:b/>
              </w:rPr>
              <w:t xml:space="preserve">Chief School Administrator</w:t>
            </w:r>
          </w:p>
        </w:tc>
      </w:tr>
      <w:tr>
        <w:tc>
          <w:tcPr>
            <w:gridSpan w:val="3"/>
            <w:vAlign w:val="center"/>
          </w:tcPr>
          <w:p>
            <w:r>
              <w:t xml:space="preserve">Dr. Faye Pleso</w:t>
            </w:r>
          </w:p>
        </w:tc>
      </w:tr>
      <w:tr>
        <w:tc>
          <w:tcPr>
            <w:gridSpan w:val="3"/>
            <w:vAlign w:val="center"/>
          </w:tcPr>
          <w:p>
            <w:r>
              <w:rPr>
                <w:b/>
              </w:rPr>
              <w:t xml:space="preserve">Chief School Administrator Email</w:t>
            </w:r>
          </w:p>
        </w:tc>
      </w:tr>
      <w:tr>
        <w:tc>
          <w:tcPr>
            <w:gridSpan w:val="3"/>
            <w:vAlign w:val="center"/>
          </w:tcPr>
          <w:p>
            <w:r>
              <w:t xml:space="preserve">fayepleso@gettysburgmontessoricharter.org</w:t>
            </w:r>
          </w:p>
        </w:tc>
      </w:tr>
      <w:tr>
        <w:tc>
          <w:tcPr>
            <w:gridSpan w:val="3"/>
            <w:vAlign w:val="center"/>
          </w:tcPr>
          <w:p>
            <w:r>
              <w:rPr>
                <w:b/>
              </w:rPr>
              <w:t xml:space="preserve">Educator Induction Plan Coordinator Name</w:t>
            </w:r>
          </w:p>
        </w:tc>
      </w:tr>
      <w:tr>
        <w:tc>
          <w:tcPr>
            <w:gridSpan w:val="3"/>
            <w:vAlign w:val="center"/>
          </w:tcPr>
          <w:p>
            <w:r>
              <w:t xml:space="preserve">Dr. Faye Pleso</w:t>
            </w:r>
          </w:p>
        </w:tc>
      </w:tr>
      <w:tr>
        <w:tc>
          <w:tcPr>
            <w:gridSpan w:val="3"/>
            <w:vAlign w:val="center"/>
          </w:tcPr>
          <w:p>
            <w:r>
              <w:rPr>
                <w:b/>
              </w:rPr>
              <w:t xml:space="preserve">Educator Induction Plan Coordinator Name Email</w:t>
            </w:r>
          </w:p>
        </w:tc>
      </w:tr>
      <w:tr>
        <w:tc>
          <w:tcPr>
            <w:gridSpan w:val="3"/>
            <w:vAlign w:val="center"/>
          </w:tcPr>
          <w:p>
            <w:r>
              <w:t xml:space="preserve">fayepleso@gettysburgmontessoricharter.org</w:t>
            </w:r>
          </w:p>
        </w:tc>
      </w:tr>
      <w:tr>
        <w:tc>
          <w:tcPr>
            <w:gridSpan w:val="2"/>
            <w:vAlign w:val="center"/>
          </w:tcPr>
          <w:p>
            <w:r>
              <w:rPr>
                <w:b/>
              </w:rPr>
              <w:t xml:space="preserve">Educator Induction Plan Coordinator Phone Number</w:t>
            </w:r>
          </w:p>
        </w:tc>
        <w:tc>
          <w:tcPr>
            <w:vAlign w:val="center"/>
          </w:tcPr>
          <w:p>
            <w:r>
              <w:rPr>
                <w:b/>
              </w:rPr>
              <w:t xml:space="preserve">Extension</w:t>
            </w:r>
          </w:p>
        </w:tc>
      </w:tr>
      <w:tr>
        <w:tc>
          <w:tcPr>
            <w:gridSpan w:val="2"/>
            <w:vAlign w:val="center"/>
          </w:tcPr>
          <w:p>
            <w:r>
              <w:t xml:space="preserve">7173341120</w:t>
            </w:r>
          </w:p>
        </w:tc>
        <w:tc>
          <w:tcPr>
            <w:vAlign w:val="center"/>
          </w:tcPr>
          <w:p/>
        </w:tc>
      </w:tr>
    </w:tbl>
    <w:p>
      <w:r>
        <w:br/>
      </w:r>
      <w:r>
        <w:br/>
      </w:r>
      <w:r>
        <w:br/>
      </w:r>
      <w:r>
        <w:br/>
      </w:r>
      <w:r>
        <w:br/>
      </w:r>
      <w:r>
        <w:br/>
      </w:r>
      <w:r>
        <w:br w:type="page"/>
      </w:r>
      <w:r>
        <w:lastRenderedPageBreak/>
      </w:r>
    </w:p>
    <w:p>
      <w:pPr>
        <w:pStyle w:val="Heading1"/>
      </w:pPr>
      <w:r>
        <w:t xml:space="preserve">Steering Committee</w:t>
      </w:r>
    </w:p>
    <w:tbl>
      <w:tblPr>
        <w:tblStyle w:val="TableGrid"/>
        <w:tblW w:w="0" w:type="auto"/>
      </w:tblPr>
      <w:tblGrid>
        <w:gridCol/>
        <w:gridCol/>
        <w:gridCol/>
        <w:gridCol/>
      </w:tblGrid>
      <w:tr>
        <w:tc>
          <w:tcPr>
            <w:vAlign w:val="center"/>
          </w:tcPr>
          <w:p>
            <w:r>
              <w:t xml:space="preserve">Name</w:t>
            </w:r>
          </w:p>
        </w:tc>
        <w:tc>
          <w:tcPr>
            <w:vAlign w:val="center"/>
          </w:tcPr>
          <w:p>
            <w:r>
              <w:t xml:space="preserve">Title</w:t>
            </w:r>
          </w:p>
        </w:tc>
        <w:tc>
          <w:tcPr>
            <w:vAlign w:val="center"/>
          </w:tcPr>
          <w:p>
            <w:r>
              <w:t xml:space="preserve">Committee Role</w:t>
            </w:r>
          </w:p>
        </w:tc>
        <w:tc>
          <w:tcPr>
            <w:vAlign w:val="center"/>
          </w:tcPr>
          <w:p>
            <w:r>
              <w:t xml:space="preserve">Chosen/Appointed By</w:t>
            </w:r>
          </w:p>
        </w:tc>
      </w:tr>
      <w:tr>
        <w:tc>
          <w:tcPr>
            <w:vAlign w:val="center"/>
          </w:tcPr>
          <w:p>
            <w:r>
              <w:t xml:space="preserve">Dr. Faye Pleso</w:t>
            </w:r>
          </w:p>
        </w:tc>
        <w:tc>
          <w:tcPr>
            <w:vAlign w:val="center"/>
          </w:tcPr>
          <w:p>
            <w:r>
              <w:t xml:space="preserve">CEO/Principal</w:t>
            </w:r>
          </w:p>
        </w:tc>
        <w:tc>
          <w:tcPr>
            <w:vAlign w:val="center"/>
          </w:tcPr>
          <w:p>
            <w:r>
              <w:t xml:space="preserve">Administrator</w:t>
            </w:r>
          </w:p>
        </w:tc>
        <w:tc>
          <w:tcPr>
            <w:vAlign w:val="center"/>
          </w:tcPr>
          <w:p>
            <w:r>
              <w:t xml:space="preserve">Administration Personnel</w:t>
            </w:r>
          </w:p>
        </w:tc>
      </w:tr>
      <w:tr>
        <w:tc>
          <w:tcPr>
            <w:vAlign w:val="center"/>
          </w:tcPr>
          <w:p>
            <w:r>
              <w:t xml:space="preserve">Helayna Thomas</w:t>
            </w:r>
          </w:p>
        </w:tc>
        <w:tc>
          <w:tcPr>
            <w:vAlign w:val="center"/>
          </w:tcPr>
          <w:p>
            <w:r>
              <w:t xml:space="preserve">1/2 Teacher</w:t>
            </w:r>
          </w:p>
        </w:tc>
        <w:tc>
          <w:tcPr>
            <w:vAlign w:val="center"/>
          </w:tcPr>
          <w:p>
            <w:r>
              <w:t xml:space="preserve">Teacher</w:t>
            </w:r>
          </w:p>
        </w:tc>
        <w:tc>
          <w:tcPr>
            <w:vAlign w:val="center"/>
          </w:tcPr>
          <w:p>
            <w:r>
              <w:t xml:space="preserve">Teacher</w:t>
            </w:r>
          </w:p>
        </w:tc>
      </w:tr>
      <w:tr>
        <w:tc>
          <w:tcPr>
            <w:vAlign w:val="center"/>
          </w:tcPr>
          <w:p>
            <w:r>
              <w:t xml:space="preserve">Destiny Lawrence</w:t>
            </w:r>
          </w:p>
        </w:tc>
        <w:tc>
          <w:tcPr>
            <w:vAlign w:val="center"/>
          </w:tcPr>
          <w:p>
            <w:r>
              <w:t xml:space="preserve">1/2 Teacher</w:t>
            </w:r>
          </w:p>
        </w:tc>
        <w:tc>
          <w:tcPr>
            <w:vAlign w:val="center"/>
          </w:tcPr>
          <w:p>
            <w:r>
              <w:t xml:space="preserve">Teacher</w:t>
            </w:r>
          </w:p>
        </w:tc>
        <w:tc>
          <w:tcPr>
            <w:vAlign w:val="center"/>
          </w:tcPr>
          <w:p>
            <w:r>
              <w:t xml:space="preserve">Teacher</w:t>
            </w:r>
          </w:p>
        </w:tc>
      </w:tr>
      <w:tr>
        <w:tc>
          <w:tcPr>
            <w:vAlign w:val="center"/>
          </w:tcPr>
          <w:p>
            <w:r>
              <w:t xml:space="preserve">Dr. Tammy Hogan</w:t>
            </w:r>
          </w:p>
        </w:tc>
        <w:tc>
          <w:tcPr>
            <w:vAlign w:val="center"/>
          </w:tcPr>
          <w:p>
            <w:r>
              <w:t xml:space="preserve">Assistant Principal</w:t>
            </w:r>
          </w:p>
        </w:tc>
        <w:tc>
          <w:tcPr>
            <w:vAlign w:val="center"/>
          </w:tcPr>
          <w:p>
            <w:r>
              <w:t xml:space="preserve">Administrator</w:t>
            </w:r>
          </w:p>
        </w:tc>
        <w:tc>
          <w:tcPr>
            <w:vAlign w:val="center"/>
          </w:tcPr>
          <w:p>
            <w:r>
              <w:t xml:space="preserve">Administration Personnel</w:t>
            </w:r>
          </w:p>
        </w:tc>
      </w:tr>
      <w:tr>
        <w:tc>
          <w:tcPr>
            <w:vAlign w:val="center"/>
          </w:tcPr>
          <w:p>
            <w:r>
              <w:t xml:space="preserve">Becky Black</w:t>
            </w:r>
          </w:p>
        </w:tc>
        <w:tc>
          <w:tcPr>
            <w:vAlign w:val="center"/>
          </w:tcPr>
          <w:p>
            <w:r>
              <w:t xml:space="preserve">Student Services Coordinator</w:t>
            </w:r>
          </w:p>
        </w:tc>
        <w:tc>
          <w:tcPr>
            <w:vAlign w:val="center"/>
          </w:tcPr>
          <w:p>
            <w:r>
              <w:t xml:space="preserve">Education Specialist</w:t>
            </w:r>
          </w:p>
        </w:tc>
        <w:tc>
          <w:tcPr>
            <w:vAlign w:val="center"/>
          </w:tcPr>
          <w:p>
            <w:r>
              <w:t xml:space="preserve">Administration Personnel</w:t>
            </w:r>
          </w:p>
        </w:tc>
      </w:tr>
    </w:tbl>
    <w:p>
      <w:r>
        <w:br/>
      </w:r>
      <w:r>
        <w:br/>
      </w:r>
      <w:r>
        <w:br/>
      </w:r>
      <w:r>
        <w:br/>
      </w:r>
      <w:r>
        <w:br/>
      </w:r>
      <w:r>
        <w:br/>
      </w:r>
      <w:r>
        <w:br w:type="page"/>
      </w:r>
      <w:r>
        <w:lastRenderedPageBreak/>
      </w:r>
    </w:p>
    <w:p>
      <w:pPr>
        <w:pStyle w:val="Heading1"/>
      </w:pPr>
      <w:r>
        <w:t xml:space="preserve">Needs Assessment</w:t>
      </w:r>
    </w:p>
    <w:tbl>
      <w:tblPr>
        <w:tblStyle w:val="TableGrid"/>
        <w:tblW w:w="0" w:type="auto"/>
      </w:tblPr>
      <w:tblGrid>
        <w:gridCol/>
        <w:gridCol/>
      </w:tblGrid>
      <w:tr>
        <w:tc>
          <w:tcPr>
            <w:vAlign w:val="center"/>
          </w:tcPr>
          <w:p>
            <w:r>
              <w:t xml:space="preserve">Observations of inductee instructional practice by a coach or mentor to identify needs.</w:t>
            </w:r>
          </w:p>
        </w:tc>
        <w:tc>
          <w:tcPr>
            <w:vAlign w:val="center"/>
          </w:tcPr>
          <w:p>
            <w:r>
              <w:t xml:space="preserve">Yes</w:t>
            </w:r>
          </w:p>
        </w:tc>
      </w:tr>
      <w:tr>
        <w:tc>
          <w:tcPr>
            <w:vAlign w:val="center"/>
          </w:tcPr>
          <w:p>
            <w:r>
              <w:t xml:space="preserve">Multiple observations of inductee instructional practice by building supervisor to identify needs.</w:t>
            </w:r>
          </w:p>
        </w:tc>
        <w:tc>
          <w:tcPr>
            <w:vAlign w:val="center"/>
          </w:tcPr>
          <w:p>
            <w:r>
              <w:t xml:space="preserve">Yes</w:t>
            </w:r>
          </w:p>
        </w:tc>
      </w:tr>
      <w:tr>
        <w:tc>
          <w:tcPr>
            <w:vAlign w:val="center"/>
          </w:tcPr>
          <w:p>
            <w:r>
              <w:t xml:space="preserve">Regular scheduled meetings with mentors or coaches to reflect upon instructional practice to identify needs.</w:t>
            </w:r>
          </w:p>
        </w:tc>
        <w:tc>
          <w:tcPr>
            <w:vAlign w:val="center"/>
          </w:tcPr>
          <w:p>
            <w:r>
              <w:t xml:space="preserve">Yes</w:t>
            </w:r>
          </w:p>
        </w:tc>
      </w:tr>
      <w:tr>
        <w:tc>
          <w:tcPr>
            <w:vAlign w:val="center"/>
          </w:tcPr>
          <w:p>
            <w:r>
              <w:t xml:space="preserve">Standardized student assessment data</w:t>
            </w:r>
          </w:p>
        </w:tc>
        <w:tc>
          <w:tcPr>
            <w:vAlign w:val="center"/>
          </w:tcPr>
          <w:p>
            <w:r>
              <w:t xml:space="preserve">Yes</w:t>
            </w:r>
          </w:p>
        </w:tc>
      </w:tr>
      <w:tr>
        <w:tc>
          <w:tcPr>
            <w:vAlign w:val="center"/>
          </w:tcPr>
          <w:p>
            <w:r>
              <w:t xml:space="preserve">Classroom assessment data (Formative  Summative)</w:t>
            </w:r>
          </w:p>
        </w:tc>
        <w:tc>
          <w:tcPr>
            <w:vAlign w:val="center"/>
          </w:tcPr>
          <w:p>
            <w:r>
              <w:t xml:space="preserve">Yes</w:t>
            </w:r>
          </w:p>
        </w:tc>
      </w:tr>
      <w:tr>
        <w:tc>
          <w:tcPr>
            <w:vAlign w:val="center"/>
          </w:tcPr>
          <w:p>
            <w:r>
              <w:t xml:space="preserve">Inductee survey (local, intermediate units and national level)</w:t>
            </w:r>
          </w:p>
        </w:tc>
        <w:tc>
          <w:tcPr>
            <w:vAlign w:val="center"/>
          </w:tcPr>
          <w:p>
            <w:r>
              <w:t xml:space="preserve">Yes</w:t>
            </w:r>
          </w:p>
        </w:tc>
      </w:tr>
      <w:tr>
        <w:tc>
          <w:tcPr>
            <w:vAlign w:val="center"/>
          </w:tcPr>
          <w:p>
            <w:r>
              <w:t xml:space="preserve">Review of inductee lesson plans</w:t>
            </w:r>
          </w:p>
        </w:tc>
        <w:tc>
          <w:tcPr>
            <w:vAlign w:val="center"/>
          </w:tcPr>
          <w:p>
            <w:r>
              <w:t xml:space="preserve">Yes</w:t>
            </w:r>
          </w:p>
        </w:tc>
      </w:tr>
      <w:tr>
        <w:tc>
          <w:tcPr>
            <w:vAlign w:val="center"/>
          </w:tcPr>
          <w:p>
            <w:r>
              <w:t xml:space="preserve">Review of written reports summarizing instructional activity</w:t>
            </w:r>
          </w:p>
        </w:tc>
        <w:tc>
          <w:tcPr>
            <w:vAlign w:val="center"/>
          </w:tcPr>
          <w:p>
            <w:r>
              <w:t xml:space="preserve">Yes</w:t>
            </w:r>
          </w:p>
        </w:tc>
      </w:tr>
      <w:tr>
        <w:tc>
          <w:tcPr>
            <w:vAlign w:val="center"/>
          </w:tcPr>
          <w:p>
            <w:r>
              <w:t xml:space="preserve">Submission of Inductee Portfolio</w:t>
            </w:r>
          </w:p>
        </w:tc>
        <w:tc>
          <w:tcPr>
            <w:vAlign w:val="center"/>
          </w:tcPr>
          <w:p>
            <w:r>
              <w:t xml:space="preserve">No</w:t>
            </w:r>
          </w:p>
        </w:tc>
      </w:tr>
      <w:tr>
        <w:tc>
          <w:tcPr>
            <w:vAlign w:val="center"/>
          </w:tcPr>
          <w:p>
            <w:r>
              <w:t xml:space="preserve">Knowledge of successful research-based instructional models</w:t>
            </w:r>
          </w:p>
        </w:tc>
        <w:tc>
          <w:tcPr>
            <w:vAlign w:val="center"/>
          </w:tcPr>
          <w:p>
            <w:r>
              <w:t xml:space="preserve">Yes</w:t>
            </w:r>
          </w:p>
        </w:tc>
      </w:tr>
      <w:tr>
        <w:tc>
          <w:tcPr>
            <w:vAlign w:val="center"/>
          </w:tcPr>
          <w:p>
            <w:r>
              <w:t xml:space="preserve">Information collected from previous induction programs (e.g., program evaluations and second-year teacher interviews).</w:t>
            </w:r>
          </w:p>
        </w:tc>
        <w:tc>
          <w:tcPr>
            <w:vAlign w:val="center"/>
          </w:tcPr>
          <w:p>
            <w:r>
              <w:t xml:space="preserve">Yes</w:t>
            </w:r>
          </w:p>
        </w:tc>
      </w:tr>
      <w:tr>
        <w:tc>
          <w:tcPr>
            <w:vAlign w:val="center"/>
          </w:tcPr>
          <w:p>
            <w:r>
              <w:t xml:space="preserve">Other, please specify below</w:t>
            </w:r>
          </w:p>
        </w:tc>
        <w:tc>
          <w:tcPr>
            <w:vAlign w:val="center"/>
          </w:tcPr>
          <w:p>
            <w:r>
              <w:t xml:space="preserve">No</w:t>
            </w:r>
          </w:p>
        </w:tc>
      </w:tr>
      <w:tr>
        <w:tc>
          <w:tcPr>
            <w:gridSpan w:val="3"/>
            <w:vAlign w:val="center"/>
          </w:tcPr>
          <w:p>
            <w:r>
              <w:t xml:space="preserve">Other</w:t>
            </w:r>
            <w:r>
              <w:br/>
            </w:r>
            <w:r>
              <w:t xml:space="preserve">N/A</w:t>
            </w:r>
          </w:p>
        </w:tc>
      </w:tr>
    </w:tbl>
    <w:p>
      <w:r>
        <w:br/>
      </w:r>
    </w:p>
    <w:p>
      <w:r>
        <w:t xml:space="preserve">Based on the tools and methods selected above, describe the LEA’s Induction program, including the following details:</w:t>
      </w:r>
    </w:p>
    <w:p>
      <w:r>
        <w:rPr>
          <w:b/>
        </w:rPr>
        <w:t xml:space="preserve">Program Structure</w:t>
      </w:r>
      <w:r>
        <w:br/>
      </w:r>
      <w:r>
        <w:t xml:space="preserve">This hybrid course through IU12 offers asynchronous modules in Schoology, synchronous virtual presentations by experts in the field, and two face-to-face meetings for employees requiring the completion of New Teacher Induction to earn a Level II teaching certificate in Pennsylvania. Build a community with a cohort of peers across all three counties and learn alongside intermediate unit leaders. Note: Per PA induction guidelines, school mentorship and additional employer support for new teachers are still required, in addition to this professional learning content. Year B to be offered next year (with new enrollees) as part of a 2-year series.
</w:t>
      </w:r>
      <w:r>
        <w:br/>
      </w:r>
      <w:r>
        <w:br/>
      </w:r>
      <w:r>
        <w:rPr>
          <w:b/>
        </w:rPr>
        <w:t xml:space="preserve">Content Included</w:t>
      </w:r>
      <w:r>
        <w:br/>
      </w:r>
      <w:r>
        <w:t xml:space="preserve">First Days of School/Induction Program Requirements/Code of Professional Practice and Conduct for Educators/Educator Effectiveness/Ethics 
Overview of Restorative Practices &amp; Positive Behavior Interventions &amp; Supports
Trauma-Informed Practices
Parent Engagement &amp; Community Involvement 
Multi-Tiered Systems of Support for Academics &amp; Data-Informed Decision-making
Technology in Education
Universal Design for Learning 
Culturally-Relevant &amp; Sustaining Education/Common Ground
Advanced Tier Support for Academics</w:t>
      </w:r>
      <w:r>
        <w:br/>
      </w:r>
      <w:r>
        <w:br/>
      </w:r>
      <w:r>
        <w:rPr>
          <w:b/>
        </w:rPr>
        <w:t xml:space="preserve">Meeting Frequency</w:t>
      </w:r>
      <w:r>
        <w:br/>
      </w:r>
      <w:r>
        <w:t xml:space="preserve">Four 90-minute Live Zoom, 8 Modules of Asynchronous Schoology, and 10 hours in-person
Year A: 2026-2027
August 
Wednesday, 8/5/2026
12:00-3:00
3 hours
Tuscarora School District	
September
virtual
Wednesday, 9/16/2026
3:30-5:00
1.5 hours	
September
9/17/2026 - 10/20/2026
2 hours	
October
Wednesday, 10/21/26
3:30-5:00
1.5 hours 	
November
10/22/26-12/8/26
2 hours	
December
Wednesday, 12/9/26
3:30-5:00
1.5 hours	
January
12/10/26-2/9/27
2 hours	
February
Wednesday, 2/10/27
3:30-5:00
1.5 hours	
March
2/11/27-4/6/27
3 hours	
April
Wednesday, 4/7/27
3:30-5:00
1.5 hours	
May
Tuesday, 5/5/27
5:00-7:00
2 hours
Lincoln Intermediate Unit 12 65 Billerbeck Street New Oxford, PA	
Year B: 25-26
Thursday, 8/7/2025
3 hours; 12:00-3:00
Tuscarora School District	
September
virtual
Wednesday, 9/17/2025	
orientation- 10/15/2025
2 hours	
October
Wednesday,
10/15/25
3:30-5:00
1.5 hours	
November 
10/15/25-12/10/25
3 hours	
December
Wednesday, 12/10/25
3:30-5:00
1.5 hours	
January
12/10/25-2/4/26
2 hours	
February
Wednesday, 2/4/26
3:30-5:00
1.5 hours	
March
2/4/26-4/8/26
2 hours	
April
Wednesday, 4/8/26
3:30-5:00
1.5 hours	
May
Tuesday, 5/12/26
5:00-7:00
2 hours
Lincoln Intermediate Unit 12 65 Billerbeck Street New Oxford, PA	
</w:t>
      </w:r>
      <w:r>
        <w:br/>
      </w:r>
      <w:r>
        <w:br/>
      </w:r>
      <w:r>
        <w:rPr>
          <w:b/>
        </w:rPr>
        <w:t xml:space="preserve">Delivery Format</w:t>
      </w:r>
      <w:r>
        <w:br/>
      </w:r>
      <w:r>
        <w:t xml:space="preserve">A combination of Asynchronous Schoology, Live Zoom, and In-Person
</w:t>
      </w:r>
      <w:r>
        <w:br/>
      </w:r>
      <w:r>
        <w:br/>
      </w:r>
      <w:r>
        <w:br/>
      </w:r>
      <w:r>
        <w:br/>
      </w:r>
      <w:r>
        <w:br w:type="page"/>
      </w:r>
      <w:r>
        <w:lastRenderedPageBreak/>
      </w:r>
    </w:p>
    <w:p>
      <w:pPr>
        <w:pStyle w:val="Heading1"/>
      </w:pPr>
      <w:r>
        <w:t xml:space="preserve">Mentors</w:t>
      </w:r>
    </w:p>
    <w:tbl>
      <w:tblPr>
        <w:tblStyle w:val="TableGrid"/>
        <w:tblW w:w="0" w:type="auto"/>
      </w:tblPr>
      <w:tblGrid>
        <w:gridCol/>
        <w:gridCol/>
      </w:tblGrid>
      <w:tr>
        <w:tc>
          <w:tcPr>
            <w:tcW w:w="3750" w:type="pct"/>
            <w:vAlign w:val="center"/>
          </w:tcPr>
          <w:p>
            <w:r>
              <w:rPr>
                <w:b/>
              </w:rPr>
              <w:t xml:space="preserve">Pool of possible mentors is comprised of teachers with outstanding work performance.</w:t>
            </w:r>
          </w:p>
        </w:tc>
        <w:tc>
          <w:tcPr>
            <w:vAlign w:val="center"/>
          </w:tcPr>
          <w:p>
            <w:r>
              <w:t xml:space="preserve">Yes</w:t>
            </w:r>
          </w:p>
        </w:tc>
      </w:tr>
      <w:tr>
        <w:tc>
          <w:tcPr>
            <w:vAlign w:val="center"/>
          </w:tcPr>
          <w:p>
            <w:r>
              <w:rPr>
                <w:b/>
              </w:rPr>
              <w:t xml:space="preserve">Potential mentors have similar certifications and teaching assignments.</w:t>
            </w:r>
          </w:p>
        </w:tc>
        <w:tc>
          <w:tcPr>
            <w:vAlign w:val="center"/>
          </w:tcPr>
          <w:p>
            <w:r>
              <w:t xml:space="preserve">Yes</w:t>
            </w:r>
          </w:p>
        </w:tc>
      </w:tr>
      <w:tr>
        <w:tc>
          <w:tcPr>
            <w:vAlign w:val="center"/>
          </w:tcPr>
          <w:p>
            <w:r>
              <w:rPr>
                <w:b/>
              </w:rPr>
              <w:t xml:space="preserve">Potential mentors must model continuous learning and reflection.</w:t>
            </w:r>
          </w:p>
        </w:tc>
        <w:tc>
          <w:tcPr>
            <w:vAlign w:val="center"/>
          </w:tcPr>
          <w:p>
            <w:r>
              <w:t xml:space="preserve">Yes</w:t>
            </w:r>
          </w:p>
        </w:tc>
      </w:tr>
      <w:tr>
        <w:tc>
          <w:tcPr>
            <w:vAlign w:val="center"/>
          </w:tcPr>
          <w:p>
            <w:r>
              <w:rPr>
                <w:b/>
              </w:rPr>
              <w:t xml:space="preserve">Potential mentors must have knowledge of LEA policies, procedures, and resources.</w:t>
            </w:r>
          </w:p>
        </w:tc>
        <w:tc>
          <w:tcPr>
            <w:vAlign w:val="center"/>
          </w:tcPr>
          <w:p>
            <w:r>
              <w:t xml:space="preserve">Yes</w:t>
            </w:r>
          </w:p>
        </w:tc>
      </w:tr>
      <w:tr>
        <w:tc>
          <w:tcPr>
            <w:vAlign w:val="center"/>
          </w:tcPr>
          <w:p>
            <w:r>
              <w:rPr>
                <w:b/>
              </w:rPr>
              <w:t xml:space="preserve">Potential mentors must have demonstrated ability to work effectively with students and other adults.</w:t>
            </w:r>
          </w:p>
        </w:tc>
        <w:tc>
          <w:tcPr>
            <w:vAlign w:val="center"/>
          </w:tcPr>
          <w:p>
            <w:r>
              <w:t xml:space="preserve">Yes</w:t>
            </w:r>
          </w:p>
        </w:tc>
      </w:tr>
      <w:tr>
        <w:tc>
          <w:tcPr>
            <w:vAlign w:val="center"/>
          </w:tcPr>
          <w:p>
            <w:r>
              <w:rPr>
                <w:b/>
              </w:rPr>
              <w:t xml:space="preserve">Potential mentors must be willing to accept additional responsibility.</w:t>
            </w:r>
          </w:p>
        </w:tc>
        <w:tc>
          <w:tcPr>
            <w:vAlign w:val="center"/>
          </w:tcPr>
          <w:p>
            <w:r>
              <w:t xml:space="preserve">Yes</w:t>
            </w:r>
          </w:p>
        </w:tc>
      </w:tr>
      <w:tr>
        <w:tc>
          <w:tcPr>
            <w:vAlign w:val="center"/>
          </w:tcPr>
          <w:p>
            <w:r>
              <w:rPr>
                <w:b/>
              </w:rPr>
              <w:t xml:space="preserve">Mentors must complete mentor training or have previous related experience (e.g., purpose of induction program and role of mentor, communication and listening skills, coaching, and conferencing skills, problem-solving skills and knowledge of adult learning and development).</w:t>
            </w:r>
          </w:p>
        </w:tc>
        <w:tc>
          <w:tcPr>
            <w:vAlign w:val="center"/>
          </w:tcPr>
          <w:p>
            <w:r>
              <w:t xml:space="preserve">Yes</w:t>
            </w:r>
          </w:p>
        </w:tc>
      </w:tr>
      <w:tr>
        <w:tc>
          <w:tcPr>
            <w:vAlign w:val="center"/>
          </w:tcPr>
          <w:p>
            <w:r>
              <w:rPr>
                <w:b/>
              </w:rPr>
              <w:t xml:space="preserve">Mentors and inductees must have compatible schedules so that they can meet regularly.</w:t>
            </w:r>
          </w:p>
        </w:tc>
        <w:tc>
          <w:tcPr>
            <w:vAlign w:val="center"/>
          </w:tcPr>
          <w:p>
            <w:r>
              <w:t xml:space="preserve">Yes</w:t>
            </w:r>
          </w:p>
        </w:tc>
      </w:tr>
      <w:tr>
        <w:tc>
          <w:tcPr>
            <w:vAlign w:val="center"/>
          </w:tcPr>
          <w:p>
            <w:r>
              <w:rPr>
                <w:b/>
              </w:rPr>
              <w:t xml:space="preserve">Other, please specify below</w:t>
            </w:r>
          </w:p>
        </w:tc>
        <w:tc>
          <w:tcPr>
            <w:vAlign w:val="center"/>
          </w:tcPr>
          <w:p>
            <w:r>
              <w:t xml:space="preserve">No</w:t>
            </w:r>
          </w:p>
        </w:tc>
      </w:tr>
    </w:tbl>
    <w:p>
      <w:r>
        <w:br/>
      </w:r>
      <w:r>
        <w:rPr>
          <w:b/>
        </w:rPr>
        <w:t xml:space="preserve">Other</w:t>
      </w:r>
      <w:r>
        <w:br/>
      </w:r>
      <w:r>
        <w:t xml:space="preserve">N/A</w:t>
      </w:r>
      <w:r>
        <w:br/>
      </w:r>
      <w:r>
        <w:br/>
      </w:r>
      <w:r>
        <w:rPr>
          <w:b/>
        </w:rPr>
        <w:t xml:space="preserve">Please explain the LEA’s process for ensuring their mentors have the above selected characteristics.</w:t>
      </w:r>
      <w:r>
        <w:br/>
      </w:r>
      <w:r>
        <w:t xml:space="preserve">GMCS uses a clear and intentional process to ensure all mentors demonstrate the required characteristics before being selected and assigned to support new teachers.
First, GMCS develops a pool of possible mentors by identifying teachers who consistently demonstrate outstanding work performance. This includes reviewing formal evaluations, administrator feedback, and evidence of strong instructional practice. Teachers who are recognized as instructional leaders and maintain a high level of professionalism are prioritized for consideration.
GMCS also ensures that potential mentors have similar certifications and teaching assignments as the inductee. When mentors are selected, GMCS works to match them by grade level and/or content area whenever possible so the mentor can provide relevant instructional guidance and support aligned to the inductee’s role.
To confirm that mentors model continuous learning and reflection, administrators review evidence of the teacher’s participation in professional learning communities (PLCs), instructional planning practices, and ongoing professional development.  GMCS also uses tools such as the WIN Reflection Form and reviews teachers’ takeaways from self-selected professional development to evaluate how they reflect on their practice, apply new learning, and demonstrate the insight and growth needed to effectively mentor others.
GMCS ensures potential mentors have knowledge of LEA policies, procedures, and resources by selecting experienced educators who demonstrate familiarity with district expectations, instructional programs, and school-based processes. These teachers are knowledgeable about curriculum standards and district initiatives which allows them to guide inductees through day-to-day responsibilities and expectations.
The district also looks for mentors who have demonstrated the ability to work effectively with students and other adults. Potential mentors must show strong communication skills, positive relationships with students, and the ability to collaborate professionally with colleagues, families, and administrators. This is supported through observation data, leadership input, and evidence of effective teamwork.
In addition, GMCS selects mentors who are willing to accept additional responsibility. Mentors must be dependable, organized, and committed to supporting another teacher throughout the year. Candidates are asked to confirm their willingness to serve and their ability to meet the time expectations involved in mentoring.
GMCS prioritizes mentors who have long-term experience in education, including teachers who hold Master’s degrees, as these qualifications often reflect strong instructional knowledge and a deeper understanding of effective teaching practices.
Finally, GMCS carefully considers planning periods, teaching schedules, and additional responsibilities when pairing mentors with inductees to maximize opportunities for collaboration. When schedules do not naturally align, adjustments are made to create common meeting times, and substitute coverage is provided as needed to ensure mentors and inductees have dedicated time to collaborate and engage in ongoing support throughout the year.</w:t>
      </w:r>
      <w:r>
        <w:br/>
      </w:r>
      <w:r>
        <w:br/>
      </w:r>
      <w:r>
        <w:br/>
      </w:r>
      <w:r>
        <w:br/>
      </w:r>
      <w:r>
        <w:br/>
      </w:r>
      <w:r>
        <w:br/>
      </w:r>
      <w:r>
        <w:br w:type="page"/>
      </w:r>
      <w:r>
        <w:lastRenderedPageBreak/>
      </w:r>
    </w:p>
    <w:p>
      <w:pPr>
        <w:pStyle w:val="Heading1"/>
      </w:pPr>
      <w:r>
        <w:t xml:space="preserve">Educator Induction Plan Topic Areas</w:t>
      </w:r>
    </w:p>
    <w:p>
      <w:pPr>
        <w:pStyle w:val="Heading3"/>
      </w:pPr>
      <w:r>
        <w:t xml:space="preserve">Common Ground</w:t>
      </w:r>
    </w:p>
    <w:p>
      <w:r>
        <w:rPr>
          <w:b/>
        </w:rPr>
        <w:t xml:space="preserve">Topic Objectives</w:t>
      </w:r>
      <w:r>
        <w:br/>
      </w:r>
      <w:r>
        <w:t xml:space="preserve">Trauma Aware Mental Health and Wellness: Competency 1, 3, 7, 
Cultural Awareness: Competency 2, 4</w:t>
      </w:r>
      <w:r>
        <w:br/>
      </w:r>
      <w:r>
        <w:br/>
      </w:r>
      <w:r>
        <w:rPr>
          <w:b/>
        </w:rPr>
        <w:t xml:space="preserve">Lead Person/Position</w:t>
      </w:r>
      <w:r>
        <w:br/>
      </w:r>
      <w:r>
        <w:t xml:space="preserve">Dr. Laura McCusker</w:t>
      </w:r>
      <w:r>
        <w:br/>
      </w:r>
      <w:r>
        <w:br/>
      </w:r>
      <w:r>
        <w:rPr>
          <w:b/>
        </w:rPr>
        <w:t xml:space="preserve">Anticipated Start</w:t>
      </w:r>
      <w:r>
        <w:br/>
      </w:r>
      <w:r>
        <w:t xml:space="preserve">2026-08-15</w:t>
      </w:r>
      <w:r>
        <w:br/>
      </w:r>
      <w:r>
        <w:br/>
      </w:r>
      <w:r>
        <w:rPr>
          <w:b/>
        </w:rPr>
        <w:t xml:space="preserve">Anticipated Completion</w:t>
      </w:r>
      <w:r>
        <w:br/>
      </w:r>
      <w:r>
        <w:t xml:space="preserve">2029-06-05</w:t>
      </w:r>
      <w:r>
        <w:br/>
      </w:r>
      <w:r>
        <w:br/>
      </w:r>
      <w:r>
        <w:rPr>
          <w:b/>
        </w:rPr>
        <w:t xml:space="preserve">Observation and Practice Framework Met in this Topic</w:t>
      </w:r>
    </w:p>
    <w:p>
      <w:r>
        <w:t xml:space="preserve">1b: Demonstrating Knowledge of Students</w:t>
      </w:r>
    </w:p>
    <w:p>
      <w:r>
        <w:t xml:space="preserve">2a: Creating an Environment of Respect and Rapport</w:t>
      </w:r>
    </w:p>
    <w:p>
      <w:r>
        <w:t xml:space="preserve">2b: Establishing a Culture for Learning</w:t>
      </w:r>
    </w:p>
    <w:p>
      <w:r>
        <w:t xml:space="preserve">3a: Communicating with Students</w:t>
      </w:r>
    </w:p>
    <w:p>
      <w:r>
        <w:t xml:space="preserve">4c: Communicating with Families</w:t>
      </w:r>
    </w:p>
    <w:p>
      <w:r>
        <w:t xml:space="preserve">3e: Demonstrating Flexibility and Responsiveness</w:t>
      </w:r>
    </w:p>
    <w:p>
      <w:r>
        <w:t xml:space="preserve">1c: Setting Instructional Outcomes</w:t>
      </w:r>
    </w:p>
    <w:p>
      <w:r>
        <w:br/>
      </w:r>
      <w:r>
        <w:br/>
      </w:r>
    </w:p>
    <w:p>
      <w:pPr>
        <w:pStyle w:val="Heading3"/>
      </w:pPr>
      <w:r>
        <w:t xml:space="preserve">Educator Effectiveness</w:t>
      </w:r>
    </w:p>
    <w:p>
      <w:r>
        <w:rPr>
          <w:b/>
        </w:rPr>
        <w:t xml:space="preserve">False</w:t>
      </w:r>
      <w:r>
        <w:t xml:space="preserve"> 
Check if Brick and Mortar Charter School and the Educator Effectiveness topic is not included because Educator Effectiveness is not required for Brick and Mortar charter schools.</w:t>
      </w:r>
    </w:p>
    <w:p>
      <w:r>
        <w:rPr>
          <w:b/>
        </w:rPr>
        <w:t xml:space="preserve">Topic Objectives</w:t>
      </w:r>
      <w:r>
        <w:br/>
      </w:r>
      <w:r>
        <w:t xml:space="preserve">Danielson Framework</w:t>
      </w:r>
      <w:r>
        <w:br/>
      </w:r>
      <w:r>
        <w:br/>
      </w:r>
      <w:r>
        <w:rPr>
          <w:b/>
        </w:rPr>
        <w:t xml:space="preserve">Lead Person/Position</w:t>
      </w:r>
      <w:r>
        <w:br/>
      </w:r>
      <w:r>
        <w:t xml:space="preserve">Dr. Tammy Hogan</w:t>
      </w:r>
      <w:r>
        <w:br/>
      </w:r>
      <w:r>
        <w:br/>
      </w:r>
      <w:r>
        <w:rPr>
          <w:b/>
        </w:rPr>
        <w:t xml:space="preserve">Anticipated Start</w:t>
      </w:r>
      <w:r>
        <w:br/>
      </w:r>
      <w:r>
        <w:t xml:space="preserve">2026-08-15</w:t>
      </w:r>
      <w:r>
        <w:br/>
      </w:r>
      <w:r>
        <w:br/>
      </w:r>
      <w:r>
        <w:rPr>
          <w:b/>
        </w:rPr>
        <w:t xml:space="preserve">Anticipated Completion</w:t>
      </w:r>
      <w:r>
        <w:br/>
      </w:r>
      <w:r>
        <w:t xml:space="preserve">2029-06-05</w:t>
      </w:r>
      <w:r>
        <w:br/>
      </w:r>
      <w:r>
        <w:br/>
      </w:r>
      <w:r>
        <w:rPr>
          <w:b/>
        </w:rPr>
        <w:t xml:space="preserve">Observation and Practice Framework Met in this Topic</w:t>
      </w:r>
    </w:p>
    <w:p>
      <w:r>
        <w:t xml:space="preserve">1a: Demonstrating Knowledge of Content and Pedagogy</w:t>
      </w:r>
    </w:p>
    <w:p>
      <w:r>
        <w:t xml:space="preserve">1b: Demonstrating Knowledge of Students</w:t>
      </w:r>
    </w:p>
    <w:p>
      <w:r>
        <w:t xml:space="preserve">1c: Setting Instructional Outcomes</w:t>
      </w:r>
    </w:p>
    <w:p>
      <w:r>
        <w:t xml:space="preserve">1d: Demonstrating Knowledge of Resources</w:t>
      </w:r>
    </w:p>
    <w:p>
      <w:r>
        <w:t xml:space="preserve">1e: Designing Coherent Instruction</w:t>
      </w:r>
    </w:p>
    <w:p>
      <w:r>
        <w:t xml:space="preserve">1f: Designing Student Assessments</w:t>
      </w:r>
    </w:p>
    <w:p>
      <w:r>
        <w:t xml:space="preserve">2a: Creating an Environment of Respect and Rapport</w:t>
      </w:r>
    </w:p>
    <w:p>
      <w:r>
        <w:t xml:space="preserve">2b: Establishing a Culture for Learning</w:t>
      </w:r>
    </w:p>
    <w:p>
      <w:r>
        <w:t xml:space="preserve">2c: Managing Classroom Procedures</w:t>
      </w:r>
    </w:p>
    <w:p>
      <w:r>
        <w:t xml:space="preserve">2d: Managing Student Behavior</w:t>
      </w:r>
    </w:p>
    <w:p>
      <w:r>
        <w:t xml:space="preserve">2e: Organizing Physical Space</w:t>
      </w:r>
    </w:p>
    <w:p>
      <w:r>
        <w:t xml:space="preserve">3a: Communicating with Students</w:t>
      </w:r>
    </w:p>
    <w:p>
      <w:r>
        <w:t xml:space="preserve">3b: Using Questioning and Discussion Techniques</w:t>
      </w:r>
    </w:p>
    <w:p>
      <w:r>
        <w:t xml:space="preserve">3c: Engaging Students in Learning</w:t>
      </w:r>
    </w:p>
    <w:p>
      <w:r>
        <w:t xml:space="preserve">3d: Using Assessment in Instruction</w:t>
      </w:r>
    </w:p>
    <w:p>
      <w:r>
        <w:t xml:space="preserve">3e: Demonstrating Flexibility and Responsiveness</w:t>
      </w:r>
    </w:p>
    <w:p>
      <w:r>
        <w:t xml:space="preserve">4a: Reflecting on Teaching</w:t>
      </w:r>
    </w:p>
    <w:p>
      <w:r>
        <w:t xml:space="preserve">4b: Maintaining Accurate Records</w:t>
      </w:r>
    </w:p>
    <w:p>
      <w:r>
        <w:t xml:space="preserve">4c: Communicating with Families</w:t>
      </w:r>
    </w:p>
    <w:p>
      <w:r>
        <w:t xml:space="preserve">4d: Participating in a Professional Community</w:t>
      </w:r>
    </w:p>
    <w:p>
      <w:r>
        <w:t xml:space="preserve">4e: Growing and Developing Professionally</w:t>
      </w:r>
    </w:p>
    <w:p>
      <w:r>
        <w:t xml:space="preserve">4f: Showing Professionalism</w:t>
      </w:r>
    </w:p>
    <w:p>
      <w:r>
        <w:br/>
      </w:r>
      <w:r>
        <w:br/>
      </w:r>
    </w:p>
    <w:p>
      <w:pPr>
        <w:pStyle w:val="Heading3"/>
      </w:pPr>
      <w:r>
        <w:t xml:space="preserve">Professional Ethics Program Framework Guidelines</w:t>
      </w:r>
    </w:p>
    <w:p>
      <w:r>
        <w:rPr>
          <w:b/>
        </w:rPr>
        <w:t xml:space="preserve">Topic Objectives</w:t>
      </w:r>
      <w:r>
        <w:br/>
      </w:r>
      <w:r>
        <w:t xml:space="preserve">Principle I: Responsibility to the Profession
Principle II: Responsibility for Professional Competence
Principle III: Responsibility to Students
Principle IV: Responsibility to the School Community
Principle V: Responsibility and Ethical Use of Technology
</w:t>
      </w:r>
      <w:r>
        <w:br/>
      </w:r>
      <w:r>
        <w:br/>
      </w:r>
      <w:r>
        <w:rPr>
          <w:b/>
        </w:rPr>
        <w:t xml:space="preserve">Lead Person/Position</w:t>
      </w:r>
      <w:r>
        <w:br/>
      </w:r>
      <w:r>
        <w:t xml:space="preserve">Dr. Tammy Hogan: Assistant Principal
Dr. Laura McCusker</w:t>
      </w:r>
      <w:r>
        <w:br/>
      </w:r>
      <w:r>
        <w:br/>
      </w:r>
      <w:r>
        <w:rPr>
          <w:b/>
        </w:rPr>
        <w:t xml:space="preserve">Anticipated Start</w:t>
      </w:r>
      <w:r>
        <w:br/>
      </w:r>
      <w:r>
        <w:t xml:space="preserve">2026-08-01</w:t>
      </w:r>
      <w:r>
        <w:br/>
      </w:r>
      <w:r>
        <w:br/>
      </w:r>
      <w:r>
        <w:rPr>
          <w:b/>
        </w:rPr>
        <w:t xml:space="preserve">Anticipated Completion</w:t>
      </w:r>
      <w:r>
        <w:br/>
      </w:r>
      <w:r>
        <w:t xml:space="preserve">2029-06-30</w:t>
      </w:r>
      <w:r>
        <w:br/>
      </w:r>
      <w:r>
        <w:br/>
      </w:r>
      <w:r>
        <w:rPr>
          <w:b/>
        </w:rPr>
        <w:t xml:space="preserve">Observation and Practice Framework Met in this Topic</w:t>
      </w:r>
    </w:p>
    <w:p>
      <w:r>
        <w:t xml:space="preserve">1a: Demonstrating Knowledge of Content and Pedagogy</w:t>
      </w:r>
    </w:p>
    <w:p>
      <w:r>
        <w:t xml:space="preserve">4a: Reflecting on Teaching</w:t>
      </w:r>
    </w:p>
    <w:p>
      <w:r>
        <w:t xml:space="preserve">4b: Maintaining Accurate Records</w:t>
      </w:r>
    </w:p>
    <w:p>
      <w:r>
        <w:t xml:space="preserve">4e: Growing and Developing Professionally</w:t>
      </w:r>
    </w:p>
    <w:p>
      <w:r>
        <w:t xml:space="preserve">3e: Demonstrating Flexibility and Responsiveness</w:t>
      </w:r>
    </w:p>
    <w:p>
      <w:r>
        <w:t xml:space="preserve">3d: Using Assessment in Instruction</w:t>
      </w:r>
    </w:p>
    <w:p>
      <w:r>
        <w:t xml:space="preserve">1f: Designing Student Assessments</w:t>
      </w:r>
    </w:p>
    <w:p>
      <w:r>
        <w:t xml:space="preserve">1d: Demonstrating Knowledge of Resources</w:t>
      </w:r>
    </w:p>
    <w:p>
      <w:r>
        <w:t xml:space="preserve">2c: Managing Classroom Procedures</w:t>
      </w:r>
    </w:p>
    <w:p>
      <w:r>
        <w:t xml:space="preserve">2a: Creating an Environment of Respect and Rapport</w:t>
      </w:r>
    </w:p>
    <w:p>
      <w:r>
        <w:t xml:space="preserve">2b: Establishing a Culture for Learning</w:t>
      </w:r>
    </w:p>
    <w:p>
      <w:r>
        <w:t xml:space="preserve">3a: Communicating with Students</w:t>
      </w:r>
    </w:p>
    <w:p>
      <w:r>
        <w:t xml:space="preserve">4f: Showing Professionalism</w:t>
      </w:r>
    </w:p>
    <w:p>
      <w:r>
        <w:t xml:space="preserve">4c: Communicating with Families</w:t>
      </w:r>
    </w:p>
    <w:p>
      <w:r>
        <w:t xml:space="preserve">4d: Participating in a Professional Community</w:t>
      </w:r>
    </w:p>
    <w:p>
      <w:r>
        <w:t xml:space="preserve">1b: Demonstrating Knowledge of Students</w:t>
      </w:r>
    </w:p>
    <w:p>
      <w:r>
        <w:t xml:space="preserve">3c: Engaging Students in Learning</w:t>
      </w:r>
    </w:p>
    <w:p>
      <w:r>
        <w:t xml:space="preserve">1c: Setting Instructional Outcomes</w:t>
      </w:r>
    </w:p>
    <w:p>
      <w:r>
        <w:t xml:space="preserve">1e: Designing Coherent Instruction</w:t>
      </w:r>
    </w:p>
    <w:p>
      <w:r>
        <w:t xml:space="preserve">2d: Managing Student Behavior</w:t>
      </w:r>
    </w:p>
    <w:p>
      <w:r>
        <w:t xml:space="preserve">2e: Organizing Physical Space</w:t>
      </w:r>
    </w:p>
    <w:p>
      <w:r>
        <w:t xml:space="preserve">3b: Using Questioning and Discussion Techniques</w:t>
      </w:r>
    </w:p>
    <w:p>
      <w:r>
        <w:br/>
      </w:r>
      <w:r>
        <w:br/>
      </w:r>
    </w:p>
    <w:p>
      <w:pPr>
        <w:pStyle w:val="Heading3"/>
      </w:pPr>
      <w:r>
        <w:t xml:space="preserve">Student Learning</w:t>
      </w:r>
    </w:p>
    <w:p>
      <w:r>
        <w:rPr>
          <w:b/>
        </w:rPr>
        <w:t xml:space="preserve">Topic Objectives</w:t>
      </w:r>
      <w:r>
        <w:br/>
      </w:r>
      <w:r>
        <w:t xml:space="preserve">Code of Professional Practice and Conduct for Educators 
Positive Behavior Interventions and Support
Culturally-Relevant &amp; Sustaining Education/Common Ground
Technology in Education
Parent Engagement and Community Involvement</w:t>
      </w:r>
      <w:r>
        <w:br/>
      </w:r>
      <w:r>
        <w:br/>
      </w:r>
      <w:r>
        <w:rPr>
          <w:b/>
        </w:rPr>
        <w:t xml:space="preserve">Lead Person/Position</w:t>
      </w:r>
      <w:r>
        <w:br/>
      </w:r>
      <w:r>
        <w:t xml:space="preserve">Dr. Laura McCusker</w:t>
      </w:r>
      <w:r>
        <w:br/>
      </w:r>
      <w:r>
        <w:br/>
      </w:r>
      <w:r>
        <w:rPr>
          <w:b/>
        </w:rPr>
        <w:t xml:space="preserve">Anticipated Start</w:t>
      </w:r>
      <w:r>
        <w:br/>
      </w:r>
      <w:r>
        <w:t xml:space="preserve">2026-08-15</w:t>
      </w:r>
      <w:r>
        <w:br/>
      </w:r>
      <w:r>
        <w:br/>
      </w:r>
      <w:r>
        <w:rPr>
          <w:b/>
        </w:rPr>
        <w:t xml:space="preserve">Anticipated Completion</w:t>
      </w:r>
      <w:r>
        <w:br/>
      </w:r>
      <w:r>
        <w:t xml:space="preserve">2029-06-01</w:t>
      </w:r>
      <w:r>
        <w:br/>
      </w:r>
      <w:r>
        <w:br/>
      </w:r>
      <w:r>
        <w:rPr>
          <w:b/>
        </w:rPr>
        <w:t xml:space="preserve">Observation and Practice Framework Met in this Topic</w:t>
      </w:r>
    </w:p>
    <w:p>
      <w:r>
        <w:t xml:space="preserve">4f: Showing Professionalism</w:t>
      </w:r>
    </w:p>
    <w:p>
      <w:r>
        <w:t xml:space="preserve">4c: Communicating with Families</w:t>
      </w:r>
    </w:p>
    <w:p>
      <w:r>
        <w:t xml:space="preserve">2d: Managing Student Behavior</w:t>
      </w:r>
    </w:p>
    <w:p>
      <w:r>
        <w:t xml:space="preserve">2c: Managing Classroom Procedures</w:t>
      </w:r>
    </w:p>
    <w:p>
      <w:r>
        <w:t xml:space="preserve">1e: Designing Coherent Instruction</w:t>
      </w:r>
    </w:p>
    <w:p>
      <w:r>
        <w:t xml:space="preserve">1b: Demonstrating Knowledge of Students</w:t>
      </w:r>
    </w:p>
    <w:p>
      <w:r>
        <w:t xml:space="preserve">3c: Engaging Students in Learning</w:t>
      </w:r>
    </w:p>
    <w:p>
      <w:r>
        <w:t xml:space="preserve">2b: Establishing a Culture for Learning</w:t>
      </w:r>
    </w:p>
    <w:p>
      <w:r>
        <w:t xml:space="preserve">3e: Demonstrating Flexibility and Responsiveness</w:t>
      </w:r>
    </w:p>
    <w:p>
      <w:r>
        <w:t xml:space="preserve">4d: Participating in a Professional Community</w:t>
      </w:r>
    </w:p>
    <w:p>
      <w:r>
        <w:t xml:space="preserve">4b: Maintaining Accurate Records</w:t>
      </w:r>
    </w:p>
    <w:p>
      <w:r>
        <w:t xml:space="preserve">4a: Reflecting on Teaching</w:t>
      </w:r>
    </w:p>
    <w:p>
      <w:r>
        <w:br/>
      </w:r>
      <w:r>
        <w:br/>
      </w:r>
    </w:p>
    <w:p>
      <w:pPr>
        <w:pStyle w:val="Heading3"/>
      </w:pPr>
      <w:r>
        <w:t xml:space="preserve">Teacher Competency</w:t>
      </w:r>
    </w:p>
    <w:p>
      <w:r>
        <w:rPr>
          <w:b/>
        </w:rPr>
        <w:t xml:space="preserve">Topic Objectives</w:t>
      </w:r>
      <w:r>
        <w:br/>
      </w:r>
      <w:r>
        <w:t xml:space="preserve">Positive Interventions and Support
Trauma Informed Practices
Universal Design for Learning
Multi-Tiered Systems of Support for Academics &amp; Data-Informed Decision-making</w:t>
      </w:r>
      <w:r>
        <w:br/>
      </w:r>
      <w:r>
        <w:br/>
      </w:r>
      <w:r>
        <w:rPr>
          <w:b/>
        </w:rPr>
        <w:t xml:space="preserve">Lead Person/Position</w:t>
      </w:r>
      <w:r>
        <w:br/>
      </w:r>
      <w:r>
        <w:t xml:space="preserve">Dr. Laura McCusker</w:t>
      </w:r>
      <w:r>
        <w:br/>
      </w:r>
      <w:r>
        <w:br/>
      </w:r>
      <w:r>
        <w:rPr>
          <w:b/>
        </w:rPr>
        <w:t xml:space="preserve">Anticipated Start</w:t>
      </w:r>
      <w:r>
        <w:br/>
      </w:r>
      <w:r>
        <w:t xml:space="preserve">2026-08-15</w:t>
      </w:r>
      <w:r>
        <w:br/>
      </w:r>
      <w:r>
        <w:br/>
      </w:r>
      <w:r>
        <w:rPr>
          <w:b/>
        </w:rPr>
        <w:t xml:space="preserve">Anticipated Completion</w:t>
      </w:r>
      <w:r>
        <w:br/>
      </w:r>
      <w:r>
        <w:t xml:space="preserve">2029-06-05</w:t>
      </w:r>
      <w:r>
        <w:br/>
      </w:r>
      <w:r>
        <w:br/>
      </w:r>
      <w:r>
        <w:rPr>
          <w:b/>
        </w:rPr>
        <w:t xml:space="preserve">Observation and Practice Framework Met in this Topic</w:t>
      </w:r>
    </w:p>
    <w:p>
      <w:r>
        <w:t xml:space="preserve">1e: Designing Coherent Instruction</w:t>
      </w:r>
    </w:p>
    <w:p>
      <w:r>
        <w:t xml:space="preserve">2e: Organizing Physical Space</w:t>
      </w:r>
    </w:p>
    <w:p>
      <w:r>
        <w:t xml:space="preserve">2b: Establishing a Culture for Learning</w:t>
      </w:r>
    </w:p>
    <w:p>
      <w:r>
        <w:t xml:space="preserve">2c: Managing Classroom Procedures</w:t>
      </w:r>
    </w:p>
    <w:p>
      <w:r>
        <w:t xml:space="preserve">2a: Creating an Environment of Respect and Rapport</w:t>
      </w:r>
    </w:p>
    <w:p>
      <w:r>
        <w:t xml:space="preserve">2d: Managing Student Behavior</w:t>
      </w:r>
    </w:p>
    <w:p>
      <w:r>
        <w:t xml:space="preserve">3a: Communicating with Students</w:t>
      </w:r>
    </w:p>
    <w:p>
      <w:r>
        <w:t xml:space="preserve">1b: Demonstrating Knowledge of Students</w:t>
      </w:r>
    </w:p>
    <w:p>
      <w:r>
        <w:t xml:space="preserve">1f: Designing Student Assessments</w:t>
      </w:r>
    </w:p>
    <w:p>
      <w:r>
        <w:t xml:space="preserve">1c: Setting Instructional Outcomes</w:t>
      </w:r>
    </w:p>
    <w:p>
      <w:r>
        <w:t xml:space="preserve">4b: Maintaining Accurate Records</w:t>
      </w:r>
    </w:p>
    <w:p>
      <w:r>
        <w:t xml:space="preserve">4f: Showing Professionalism</w:t>
      </w:r>
    </w:p>
    <w:p>
      <w:r>
        <w:t xml:space="preserve">3e: Demonstrating Flexibility and Responsiveness</w:t>
      </w:r>
    </w:p>
    <w:p>
      <w:r>
        <w:t xml:space="preserve">3c: Engaging Students in Learning</w:t>
      </w:r>
    </w:p>
    <w:p>
      <w:r>
        <w:br/>
      </w:r>
      <w:r>
        <w:br/>
      </w:r>
      <w:r>
        <w:br/>
      </w:r>
      <w:r>
        <w:br/>
      </w:r>
      <w:r>
        <w:br/>
      </w:r>
      <w:r>
        <w:br/>
      </w:r>
      <w:r>
        <w:br/>
      </w:r>
      <w:r>
        <w:br/>
      </w:r>
      <w:r>
        <w:br w:type="page"/>
      </w:r>
      <w:r>
        <w:lastRenderedPageBreak/>
      </w:r>
    </w:p>
    <w:p>
      <w:pPr>
        <w:pStyle w:val="Heading1"/>
      </w:pPr>
      <w:r>
        <w:t xml:space="preserve">Evaluation and Monitoring</w:t>
      </w:r>
    </w:p>
    <w:p>
      <w:r>
        <w:rPr>
          <w:b/>
        </w:rPr>
        <w:t xml:space="preserve">Monitoring Routines</w:t>
      </w:r>
      <w:r>
        <w:br/>
      </w:r>
      <w:r>
        <w:t xml:space="preserve">Feedback from Mentors
Feedback from Leads</w:t>
      </w:r>
    </w:p>
    <w:p>
      <w:r>
        <w:rPr>
          <w:b/>
        </w:rPr>
        <w:t xml:space="preserve">Uploaded Files</w:t>
      </w:r>
    </w:p>
    <w:p>
      <w:r>
        <w:t xml:space="preserve">LIU12_Induction_Evaluations_Detailed (1).pdf</w:t>
      </w:r>
    </w:p>
    <w:p>
      <w:r>
        <w:br/>
      </w:r>
      <w:r>
        <w:br/>
      </w:r>
      <w:r>
        <w:br/>
      </w:r>
      <w:r>
        <w:br/>
      </w:r>
      <w:r>
        <w:br/>
      </w:r>
      <w:r>
        <w:br/>
      </w:r>
      <w:r>
        <w:br w:type="page"/>
      </w:r>
      <w:r>
        <w:lastRenderedPageBreak/>
      </w:r>
    </w:p>
    <w:p>
      <w:pPr>
        <w:pStyle w:val="Heading1"/>
      </w:pPr>
      <w:r>
        <w:t xml:space="preserve">Documentation of Participation and Completion</w:t>
      </w:r>
    </w:p>
    <w:p>
      <w:r>
        <w:rPr>
          <w:b/>
        </w:rPr>
        <w:t xml:space="preserve">Mentor documents his/her inductee’s involvement in the program.</w:t>
      </w:r>
      <w:r>
        <w:br/>
      </w:r>
      <w:r>
        <w:t xml:space="preserve">Yes</w:t>
      </w:r>
      <w:r>
        <w:br/>
      </w:r>
      <w:r>
        <w:br/>
      </w:r>
      <w:r>
        <w:rPr>
          <w:b/>
        </w:rPr>
        <w:t xml:space="preserve">A designated administrator receives, evaluates, and archives all mentor records.</w:t>
      </w:r>
      <w:r>
        <w:br/>
      </w:r>
      <w:r>
        <w:t xml:space="preserve">Yes</w:t>
      </w:r>
      <w:r>
        <w:br/>
      </w:r>
      <w:r>
        <w:br/>
      </w:r>
      <w:r>
        <w:rPr>
          <w:b/>
        </w:rPr>
        <w:t xml:space="preserve">School/LEA maintains accurate records of program completion and provide a certificate or statement of completion to each inductee who has completed the program.</w:t>
      </w:r>
      <w:r>
        <w:br/>
      </w:r>
      <w:r>
        <w:t xml:space="preserve">Yes</w:t>
      </w:r>
      <w:r>
        <w:br/>
      </w:r>
      <w:r>
        <w:br/>
      </w:r>
      <w:r>
        <w:rPr>
          <w:b/>
        </w:rPr>
        <w:t xml:space="preserve">Completion is verified by the LEA Chief Administrator on the Application for Level 2 Certification.</w:t>
      </w:r>
      <w:r>
        <w:br/>
      </w:r>
      <w:r>
        <w:t xml:space="preserve">Yes</w:t>
      </w:r>
      <w:r>
        <w:br/>
      </w:r>
      <w:r>
        <w:br/>
      </w:r>
      <w:r>
        <w:rPr>
          <w:b/>
        </w:rPr>
        <w:t xml:space="preserve">Confirm that all first-year teachers (including teachers in prekindergarten programs, when offered) and educational specialists are included in the induction program. Long-term substitutes who are hired for a position for 45 days or more also shall be included in a school entity’s induction plan and shall participate in an induction experience for the period of time in which they serve in that capacity. </w:t>
      </w:r>
      <w:r>
        <w:br/>
      </w:r>
      <w:r>
        <w:t xml:space="preserve">Yes</w:t>
      </w:r>
      <w:r>
        <w:br/>
      </w:r>
      <w:r>
        <w:br/>
      </w:r>
      <w:r>
        <w:br/>
      </w:r>
      <w:r>
        <w:br/>
      </w:r>
      <w:r>
        <w:br/>
      </w:r>
      <w:r>
        <w:br/>
      </w:r>
      <w:r>
        <w:br w:type="page"/>
      </w:r>
      <w:r>
        <w:lastRenderedPageBreak/>
      </w:r>
    </w:p>
    <w:p>
      <w:pPr>
        <w:pStyle w:val="Heading1"/>
      </w:pPr>
      <w:r>
        <w:t xml:space="preserve">Signatures and Quality Assurance</w:t>
      </w:r>
    </w:p>
    <w:p>
      <w:r>
        <w:rPr>
          <w:b/>
        </w:rPr>
        <w:t xml:space="preserve">Will all first-year teachers (including teachers in prekindergarten programs, when offered), long-term substitutes who are hired for a position for 45 days or more and educational specialists be identified and provided a 2-year induction experience beginning in the 2024-25 SY?  </w:t>
      </w:r>
      <w:hyperlink xmlns:r="http://schemas.openxmlformats.org/officeDocument/2006/relationships" w:history="true" r:id="Rd431e3ff22764006">
        <w:r>
          <w:rPr>
            <w:rStyle w:val="Hyperlink"/>
            <w:b/>
          </w:rPr>
          <w:t xml:space="preserve">(22 Pa Code, 49.16 </w:t>
        </w:r>
        <w:r>
          <w:rPr>
            <w:b/>
          </w:rPr>
          <w:t xml:space="preserve">)</w:t>
        </w:r>
      </w:hyperlink>
      <w:r>
        <w:br/>
      </w:r>
      <w:r>
        <w:t xml:space="preserve">Yes</w:t>
      </w:r>
      <w:r>
        <w:br/>
      </w:r>
      <w:r>
        <w:br/>
      </w:r>
      <w:r>
        <w:rPr>
          <w:b/>
        </w:rPr>
        <w:t xml:space="preserve">Is the induction plan prepared by teacher or educational specialist representatives, or both, chosen by teachers and educational specialists and administrative representatives chosen by the administrative personnel of the school entity? </w:t>
      </w:r>
      <w:hyperlink xmlns:r="http://schemas.openxmlformats.org/officeDocument/2006/relationships" w:history="true" r:id="R239c07f529064083">
        <w:r>
          <w:rPr>
            <w:rStyle w:val="Hyperlink"/>
            <w:b/>
          </w:rPr>
          <w:t xml:space="preserve">(22 Pa Code, 49.16 </w:t>
        </w:r>
        <w:r>
          <w:rPr>
            <w:b/>
          </w:rPr>
          <w:t xml:space="preserve">)</w:t>
        </w:r>
      </w:hyperlink>
      <w:r>
        <w:br/>
      </w:r>
      <w:r>
        <w:t xml:space="preserve">Yes</w:t>
      </w:r>
      <w:r>
        <w:br/>
      </w:r>
      <w:r>
        <w:br/>
      </w:r>
      <w:r>
        <w:rPr>
          <w:b/>
        </w:rPr>
        <w:t xml:space="preserve">Has the plan been made available for public inspection and comment for a minimum of 28 days prior to approval of the plan by the school entity's governing board and submission of the plan to the Department? </w:t>
      </w:r>
      <w:hyperlink xmlns:r="http://schemas.openxmlformats.org/officeDocument/2006/relationships" w:history="true" r:id="R57123cce07ac4090">
        <w:r>
          <w:rPr>
            <w:rStyle w:val="Hyperlink"/>
            <w:b/>
          </w:rPr>
          <w:t xml:space="preserve">(22 Pa Code, 49.16 </w:t>
        </w:r>
        <w:r>
          <w:rPr>
            <w:b/>
          </w:rPr>
          <w:t xml:space="preserve">)</w:t>
        </w:r>
      </w:hyperlink>
      <w:r>
        <w:br/>
      </w:r>
      <w:r>
        <w:t xml:space="preserve">Yes</w:t>
      </w:r>
      <w:r>
        <w:br/>
      </w:r>
      <w:r>
        <w:br/>
      </w:r>
      <w:r>
        <w:rPr>
          <w:b/>
        </w:rPr>
        <w:t xml:space="preserve">Does the induction plan reflect a mentor relationship between the first-year teacher, long-term substitute or educational specialist, teacher educator and the induction team? </w:t>
      </w:r>
      <w:hyperlink xmlns:r="http://schemas.openxmlformats.org/officeDocument/2006/relationships" w:history="true" r:id="R4ea32f6e16684a25">
        <w:r>
          <w:rPr>
            <w:rStyle w:val="Hyperlink"/>
            <w:b/>
          </w:rPr>
          <w:t xml:space="preserve">(22 Pa Code, 49.16 </w:t>
        </w:r>
        <w:r>
          <w:rPr>
            <w:b/>
          </w:rPr>
          <w:t xml:space="preserve">)</w:t>
        </w:r>
      </w:hyperlink>
      <w:r>
        <w:br/>
      </w:r>
      <w:r>
        <w:t xml:space="preserve">Yes</w:t>
      </w:r>
      <w:r>
        <w:br/>
      </w:r>
      <w:r>
        <w:br/>
      </w:r>
      <w:r>
        <w:rPr>
          <w:b/>
        </w:rPr>
        <w:t xml:space="preserve">Does the induction plan include training on the teacher observation and evaluation model inclusive of the consistent use of quality teacher-specific data and building-level data within student performance measures? (</w:t>
      </w:r>
      <w:hyperlink xmlns:r="http://schemas.openxmlformats.org/officeDocument/2006/relationships" w:history="true" r:id="Rb4a128c76a4b42c4">
        <w:r>
          <w:rPr>
            <w:rStyle w:val="Hyperlink"/>
            <w:b/>
          </w:rPr>
          <w:t xml:space="preserve">24 P.S. § 11-1138.8 (c)(3)</w:t>
        </w:r>
      </w:hyperlink>
      <w:r>
        <w:rPr>
          <w:b/>
        </w:rPr>
        <w:t xml:space="preserve"> and </w:t>
      </w:r>
      <w:hyperlink xmlns:r="http://schemas.openxmlformats.org/officeDocument/2006/relationships" w:history="true" r:id="R7540465544114a0f">
        <w:r>
          <w:rPr>
            <w:rStyle w:val="Hyperlink"/>
            <w:b/>
          </w:rPr>
          <w:t xml:space="preserve">22 Pa Code, 49.16 </w:t>
        </w:r>
      </w:hyperlink>
      <w:r>
        <w:rPr>
          <w:b/>
        </w:rPr>
        <w:t xml:space="preserve">)</w:t>
      </w:r>
      <w:r>
        <w:br/>
      </w:r>
      <w:r>
        <w:t xml:space="preserve">Yes</w:t>
      </w:r>
      <w:r>
        <w:br/>
      </w:r>
      <w:r>
        <w:br/>
      </w:r>
    </w:p>
    <w:p>
      <w:r>
        <w:rPr>
          <w:b/>
        </w:rPr>
        <w:t xml:space="preserve">Does the induction plan:</w:t>
      </w:r>
    </w:p>
    <w:p>
      <w:r>
        <w:rPr>
          <w:b/>
        </w:rPr>
        <w:t xml:space="preserve">a. Assess the needs of inductees?</w:t>
      </w:r>
      <w:r>
        <w:br/>
      </w:r>
      <w:r>
        <w:t xml:space="preserve">Yes</w:t>
      </w:r>
      <w:r>
        <w:br/>
      </w:r>
      <w:r>
        <w:br/>
      </w:r>
      <w:r>
        <w:rPr>
          <w:b/>
        </w:rPr>
        <w:t xml:space="preserve">b. Describe how the program will be structured?</w:t>
      </w:r>
      <w:r>
        <w:br/>
      </w:r>
      <w:r>
        <w:t xml:space="preserve">Yes</w:t>
      </w:r>
      <w:r>
        <w:br/>
      </w:r>
      <w:r>
        <w:br/>
      </w:r>
      <w:r>
        <w:rPr>
          <w:b/>
        </w:rPr>
        <w:t xml:space="preserve">c. Describe what content will be included, along with the delivery format and timeframe?</w:t>
      </w:r>
      <w:r>
        <w:br/>
      </w:r>
      <w:r>
        <w:t xml:space="preserve">Yes</w:t>
      </w:r>
      <w:r>
        <w:br/>
      </w:r>
      <w:r>
        <w:br/>
      </w:r>
      <w:r>
        <w:rPr>
          <w:b/>
        </w:rPr>
        <w:t xml:space="preserve">d. Include a two-year induction program effective the {SchoolYear} school year?</w:t>
      </w:r>
      <w:r>
        <w:br/>
      </w:r>
      <w:r>
        <w:t xml:space="preserve">Yes</w:t>
      </w:r>
      <w:r>
        <w:br/>
      </w:r>
      <w:r>
        <w:br/>
      </w:r>
      <w:r>
        <w:t xml:space="preserve">Does your LEA provide Induction programming for any Pennsylvania Pre-K Counts programs?</w:t>
      </w:r>
      <w:r>
        <w:br/>
      </w:r>
      <w:r>
        <w:br/>
      </w:r>
      <w:r>
        <w:t xml:space="preserve">No</w:t>
      </w:r>
      <w:r>
        <w:br/>
      </w:r>
      <w:r>
        <w:br/>
      </w:r>
      <w:r>
        <w:rPr>
          <w:b/>
        </w:rPr>
        <w:t xml:space="preserve">True  </w:t>
      </w:r>
      <w:r>
        <w:t xml:space="preserve">We affirm that this Educator Induction Plan has been developed in accordance with the laws, regulations and guidelines for the development, implementation and evaluation of the Induction Plan as designated in Chapter 4 of the Pennsylvania Department of Education School Code.</w:t>
      </w:r>
      <w:r>
        <w:br/>
      </w:r>
      <w:r>
        <w:br/>
      </w:r>
      <w:r>
        <w:rPr>
          <w:b/>
        </w:rPr>
        <w:t xml:space="preserve">True  </w:t>
      </w:r>
      <w:r>
        <w:t xml:space="preserve">We affirm that this Educator Induction Plan focuses on the learning needs of each professional staff member to ensure high quality instruction for all students.</w:t>
      </w:r>
      <w:r>
        <w:br/>
      </w:r>
      <w:r>
        <w:br/>
      </w:r>
    </w:p>
    <w:tbl>
      <w:tblPr>
        <w:tblStyle w:val="TableGrid"/>
        <w:tblW w:w="0" w:type="auto"/>
      </w:tblPr>
      <w:tblGrid>
        <w:gridCol/>
        <w:gridCol/>
      </w:tblGrid>
      <w:tr>
        <w:tc>
          <w:tcPr>
            <w:vAlign w:val="center"/>
          </w:tcPr>
          <w:p>
            <w:r>
              <w:rPr>
                <w:b/>
              </w:rPr>
              <w:t xml:space="preserve">Educator Induction Plan Coordinator</w:t>
            </w:r>
          </w:p>
        </w:tc>
        <w:tc>
          <w:tcPr>
            <w:vAlign w:val="center"/>
          </w:tcPr>
          <w:p>
            <w:r>
              <w:rPr>
                <w:b/>
              </w:rPr>
              <w:t xml:space="preserve">Date</w:t>
            </w:r>
          </w:p>
        </w:tc>
      </w:tr>
      <w:tr>
        <w:tc>
          <w:tcPr>
            <w:vAlign w:val="center"/>
          </w:tcPr>
          <w:p>
            <w:r>
              <w:t xml:space="preserve">Dr. Faye Pleso</w:t>
            </w:r>
          </w:p>
        </w:tc>
        <w:tc>
          <w:tcPr>
            <w:vAlign w:val="center"/>
          </w:tcPr>
          <w:p>
            <w:r>
              <w:t xml:space="preserve">2026-02-18</w:t>
            </w:r>
          </w:p>
        </w:tc>
      </w:tr>
    </w:tbl>
    <w:p>
      <w:r>
        <w:br/>
      </w:r>
      <w:r>
        <w:br/>
      </w:r>
      <w:r>
        <w:rPr>
          <w:b/>
        </w:rPr>
        <w:t xml:space="preserve">False  </w:t>
      </w:r>
      <w:r>
        <w:t xml:space="preserve">I affirm that this Induction Plan provides staff learning that improves the learning of all students as outlined in the </w:t>
      </w:r>
      <w:hyperlink xmlns:r="http://schemas.openxmlformats.org/officeDocument/2006/relationships" w:history="true" r:id="Re43ef28961c7427d">
        <w:r>
          <w:rPr>
            <w:rStyle w:val="Hyperlink"/>
          </w:rPr>
          <w:t xml:space="preserve">National Staff Development Council's Standards for Staff Learning</w:t>
        </w:r>
      </w:hyperlink>
      <w:r>
        <w:t xml:space="preserve">.</w:t>
      </w:r>
      <w:r>
        <w:br/>
      </w:r>
      <w:r>
        <w:br/>
      </w:r>
    </w:p>
    <w:tbl>
      <w:tblPr>
        <w:tblStyle w:val="TableGrid"/>
        <w:tblW w:w="0" w:type="auto"/>
      </w:tblPr>
      <w:tblGrid>
        <w:gridCol/>
        <w:gridCol/>
      </w:tblGrid>
      <w:tr>
        <w:tc>
          <w:tcPr>
            <w:vAlign w:val="center"/>
          </w:tcPr>
          <w:p>
            <w:r>
              <w:rPr>
                <w:b/>
              </w:rPr>
              <w:t xml:space="preserve">Chief School Administrator</w:t>
            </w:r>
          </w:p>
        </w:tc>
        <w:tc>
          <w:tcPr>
            <w:vAlign w:val="center"/>
          </w:tcPr>
          <w:p>
            <w:r>
              <w:rPr>
                <w:b/>
              </w:rPr>
              <w:t xml:space="preserve">Date</w:t>
            </w:r>
          </w:p>
        </w:tc>
      </w:tr>
      <w:tr>
        <w:tc>
          <w:tcPr>
            <w:vAlign w:val="center"/>
          </w:tcPr>
          <w:p>
            <w:r>
              <w:t xml:space="preserve">Dr. Faye Pleso</w:t>
            </w:r>
          </w:p>
        </w:tc>
        <w:tc>
          <w:tcPr>
            <w:vAlign w:val="center"/>
          </w:tcPr>
          <w:p>
            <w:r>
              <w:t xml:space="preserve">2026-02-18</w:t>
            </w:r>
          </w:p>
        </w:tc>
      </w:tr>
    </w:tbl>
    <w:p>
      <w:r>
        <w:br/>
      </w:r>
      <w:r>
        <w:br/>
      </w:r>
      <w:r>
        <w:br/>
      </w:r>
      <w:r>
        <w:br/>
      </w:r>
      <w:r>
        <w:br/>
      </w:r>
      <w:r>
        <w:br/>
      </w:r>
    </w:p>
    <w:sectPr>
      <w:pgSz w:w="15840" w:h="12240" w:orient="landscape"/>
      <w:pgMar w:top="720" w:right="720" w:bottom="720" w:left="720"/>
      <w:footerReference xmlns:r="http://schemas.openxmlformats.org/officeDocument/2006/relationships" r:id="Rbdc2ee70ae0b433a"/>
    </w:sectPr>
  </w:body>
</w:document>
</file>

<file path=word/footer1.xml><?xml version="1.0" encoding="utf-8"?>
<w:ftr xmlns:w="http://schemas.openxmlformats.org/wordprocessingml/2006/main">
  <w:p>
    <w:pPr>
      <w:pStyle w:val="Footer"/>
      <w:jc w:val="right"/>
      <w:r>
        <w:fldSimple w:instr="PAGE"/>
      </w:r>
    </w:pPr>
  </w:p>
</w:ftr>
</file>

<file path=word/styles.xml><?xml version="1.0" encoding="utf-8"?>
<w:styles xmlns:w="http://schemas.openxmlformats.org/wordprocessingml/2006/main">
  <w:style xmlns:w="http://schemas.openxmlformats.org/wordprocessingml/2006/main" w:type="paragraph" w:styleId="Heading1">
    <w:name w:val="heading 1"/>
    <w:basedOn w:val="Normal"/>
    <w:next w:val="Normal"/>
    <w:link w:val="Heading1Char"/>
    <w:qFormat/>
    <w:pPr>
      <w:keepNext/>
      <w:keepLines/>
      <w:spacing w:before="480" w:after="0"/>
      <w:outlineLvl w:val="0"/>
    </w:pPr>
    <w:rPr>
      <w:rFonts w:asciiTheme="majorHAnsi" w:hAnsiTheme="majorHAnsi" w:eastAsiaTheme="majorEastAsia" w:cstheme="majorBidi"/>
      <w:b/>
      <w:bCs/>
      <w:color w:val="2E74B5" w:themeColor="accent1" w:themeShade="BF"/>
      <w:sz w:val="28"/>
      <w:szCs w:val="28"/>
    </w:rPr>
  </w:style>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xmlns:w="http://schemas.openxmlformats.org/wordprocessingml/2006/main" w:type="paragraph" w:styleId="Heading3">
    <w:name w:val="heading 3"/>
    <w:basedOn w:val="Normal"/>
    <w:next w:val="Normal"/>
    <w:link w:val="Heading3Char"/>
    <w:unhideWhenUsed/>
    <w:qFormat/>
    <w:pPr>
      <w:keepNext/>
      <w:keepLines/>
      <w:spacing w:before="200" w:after="0"/>
      <w:outlineLvl w:val="2"/>
    </w:pPr>
    <w:rPr>
      <w:rFonts w:asciiTheme="majorHAnsi" w:hAnsiTheme="majorHAnsi" w:eastAsiaTheme="majorEastAsia" w:cstheme="majorBidi"/>
      <w:b/>
      <w:bCs/>
      <w:color w:val="5B9BD5" w:themeColor="accent1"/>
    </w:rPr>
  </w:style>
  <w:style xmlns:w="http://schemas.openxmlformats.org/wordprocessingml/2006/main" w:type="character" w:styleId="Hyperlink">
    <w:name w:val="Hyperlink"/>
    <w:unhideWhenUsed/>
    <w:rPr>
      <w:color w:val="0000FF" w:themeColor="hyperlink"/>
      <w:u w:val="single"/>
    </w:rPr>
  </w:style>
</w:styles>
</file>

<file path=word/_rels/document.xml.rels>&#65279;<?xml version="1.0" encoding="utf-8"?><Relationships xmlns="http://schemas.openxmlformats.org/package/2006/relationships"><Relationship Type="http://schemas.openxmlformats.org/officeDocument/2006/relationships/footer" Target="/word/footer1.xml" Id="Rbdc2ee70ae0b433a" /><Relationship Type="http://schemas.openxmlformats.org/officeDocument/2006/relationships/styles" Target="/word/styles.xml" Id="Re250f426cb8e4552" /><Relationship Type="http://schemas.openxmlformats.org/officeDocument/2006/relationships/hyperlink" Target="http://www.pacodeandbulletin.gov/Display/pacode?file=/secure/pacode/data/022/chapter49/s49.16.html&amp;searchunitkeywords=22%2CPa%2CCode%2C49.16&amp;origQuery=22%20Pa%20Code,%2049.16&amp;operator=OR&amp;title=null" TargetMode="External" Id="Rd431e3ff22764006" /><Relationship Type="http://schemas.openxmlformats.org/officeDocument/2006/relationships/hyperlink" Target="http://www.pacodeandbulletin.gov/Display/pacode?file=/secure/pacode/data/022/chapter49/s49.16.html&amp;searchunitkeywords=22%2CPa%2CCode%2C49.16&amp;origQuery=22%20Pa%20Code,%2049.16&amp;operator=OR&amp;title=null" TargetMode="External" Id="R239c07f529064083" /><Relationship Type="http://schemas.openxmlformats.org/officeDocument/2006/relationships/hyperlink" Target="http://www.pacodeandbulletin.gov/Display/pacode?file=/secure/pacode/data/022/chapter49/s49.16.html&amp;searchunitkeywords=22%2CPa%2CCode%2C49.16&amp;origQuery=22%20Pa%20Code,%2049.16&amp;operator=OR&amp;title=null" TargetMode="External" Id="R57123cce07ac4090" /><Relationship Type="http://schemas.openxmlformats.org/officeDocument/2006/relationships/hyperlink" Target="http://www.pacodeandbulletin.gov/Display/pacode?file=/secure/pacode/data/022/chapter49/s49.16.html&amp;searchunitkeywords=22%2CPa%2CCode%2C49.16&amp;origQuery=22%20Pa%20Code,%2049.16&amp;operator=OR&amp;title=null" TargetMode="External" Id="R4ea32f6e16684a25" /><Relationship Type="http://schemas.openxmlformats.org/officeDocument/2006/relationships/hyperlink" Target="https://www.legis.state.pa.us/cfdocs/legis/li/uconsCheck.cfm?yr=2020&amp;sessInd=0&amp;act=13" TargetMode="External" Id="Rb4a128c76a4b42c4" /><Relationship Type="http://schemas.openxmlformats.org/officeDocument/2006/relationships/hyperlink" Target="http://www.pacodeandbulletin.gov/Display/pacode?file=/secure/pacode/data/022/chapter49/s49.16.html&amp;searchunitkeywords=22%2CPa%2CCode%2C49.16&amp;origQuery=22%20Pa%20Code,%2049.16&amp;operator=OR&amp;title=null" TargetMode="External" Id="R7540465544114a0f" /><Relationship Type="http://schemas.openxmlformats.org/officeDocument/2006/relationships/hyperlink" Target="https://www.air.org/GTL-Center" TargetMode="External" Id="Re43ef28961c7427d" /></Relationships>
</file>