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7dcb4d66093a494a" /></Relationships>
</file>

<file path=word/document.xml><?xml version="1.0" encoding="utf-8"?>
<w:document xmlns:w="http://schemas.openxmlformats.org/wordprocessingml/2006/main">
  <w:body>
    <w:p>
      <w:r>
        <w:rPr>
          <w:b/>
        </w:rPr>
        <w:t xml:space="preserve">Gettysburg Montessori CS</w:t>
      </w:r>
      <w:r>
        <w:br/>
      </w:r>
      <w:r>
        <w:t xml:space="preserve">Comprehensive Plan | 2026 - 2029</w:t>
      </w:r>
      <w:r>
        <w:br/>
      </w:r>
      <w:r>
        <w:br/>
      </w:r>
      <w:r>
        <w:br w:type="page"/>
      </w:r>
      <w:r>
        <w:lastRenderedPageBreak/>
      </w:r>
    </w:p>
    <w:p>
      <w:pPr>
        <w:pStyle w:val="Heading1"/>
      </w:pPr>
      <w:r>
        <w:t xml:space="preserve">Profile and Plan Essentials</w:t>
      </w:r>
    </w:p>
    <w:tbl>
      <w:tblPr>
        <w:tblStyle w:val="TableGrid"/>
        <w:tblW w:w="5000" w:type="pct"/>
      </w:tblPr>
      <w:tblGrid>
        <w:gridCol/>
        <w:gridCol/>
        <w:gridCol/>
      </w:tblGrid>
      <w:tr>
        <w:tc>
          <w:tcPr>
            <w:gridSpan w:val="2"/>
            <w:vAlign w:val="center"/>
          </w:tcPr>
          <w:p>
            <w:r>
              <w:rPr>
                <w:b/>
              </w:rPr>
              <w:t xml:space="preserve">LEA Type</w:t>
            </w:r>
          </w:p>
        </w:tc>
        <w:tc>
          <w:tcPr>
            <w:vAlign w:val="center"/>
          </w:tcPr>
          <w:p>
            <w:r>
              <w:t xml:space="preserve">AUN</w:t>
            </w:r>
          </w:p>
        </w:tc>
      </w:tr>
      <w:tr>
        <w:tc>
          <w:tcPr>
            <w:gridSpan w:val="2"/>
            <w:vAlign w:val="center"/>
          </w:tcPr>
          <w:p>
            <w:r>
              <w:t xml:space="preserve">Charter School                          </w:t>
            </w:r>
          </w:p>
        </w:tc>
        <w:tc>
          <w:tcPr>
            <w:vAlign w:val="center"/>
          </w:tcPr>
          <w:p>
            <w:r>
              <w:t xml:space="preserve">197010542</w:t>
            </w:r>
          </w:p>
        </w:tc>
      </w:tr>
      <w:tr>
        <w:tc>
          <w:tcPr>
            <w:gridSpan w:val="3"/>
            <w:vAlign w:val="center"/>
          </w:tcPr>
          <w:p>
            <w:r>
              <w:rPr>
                <w:b/>
              </w:rPr>
              <w:t xml:space="preserve">Address 1</w:t>
            </w:r>
          </w:p>
        </w:tc>
      </w:tr>
      <w:tr>
        <w:tc>
          <w:tcPr>
            <w:gridSpan w:val="3"/>
            <w:vAlign w:val="center"/>
          </w:tcPr>
          <w:p>
            <w:r>
              <w:t xml:space="preserve">888 Coleman Road</w:t>
            </w:r>
          </w:p>
        </w:tc>
      </w:tr>
      <w:tr>
        <w:tc>
          <w:tcPr>
            <w:gridSpan w:val="3"/>
            <w:vAlign w:val="center"/>
          </w:tcPr>
          <w:p>
            <w:r>
              <w:rPr>
                <w:b/>
              </w:rPr>
              <w:t xml:space="preserve">Address 2</w:t>
            </w:r>
          </w:p>
        </w:tc>
      </w:tr>
      <w:tr>
        <w:tc>
          <w:tcPr>
            <w:gridSpan w:val="3"/>
            <w:vAlign w:val="center"/>
          </w:tcPr>
          <w:p/>
        </w:tc>
      </w:tr>
      <w:tr>
        <w:tc>
          <w:tcPr>
            <w:vAlign w:val="center"/>
          </w:tcPr>
          <w:p>
            <w:r>
              <w:rPr>
                <w:b/>
              </w:rPr>
              <w:t xml:space="preserve">City</w:t>
            </w:r>
          </w:p>
        </w:tc>
        <w:tc>
          <w:tcPr>
            <w:vAlign w:val="center"/>
          </w:tcPr>
          <w:p>
            <w:r>
              <w:rPr>
                <w:b/>
              </w:rPr>
              <w:t xml:space="preserve">State</w:t>
            </w:r>
          </w:p>
        </w:tc>
        <w:tc>
          <w:tcPr>
            <w:vAlign w:val="center"/>
          </w:tcPr>
          <w:p>
            <w:r>
              <w:rPr>
                <w:b/>
              </w:rPr>
              <w:t xml:space="preserve">Zip Code</w:t>
            </w:r>
          </w:p>
        </w:tc>
      </w:tr>
      <w:tr>
        <w:tc>
          <w:tcPr>
            <w:vAlign w:val="center"/>
          </w:tcPr>
          <w:p>
            <w:r>
              <w:t xml:space="preserve">Gettysburg</w:t>
            </w:r>
          </w:p>
        </w:tc>
        <w:tc>
          <w:tcPr>
            <w:vAlign w:val="center"/>
          </w:tcPr>
          <w:p>
            <w:r>
              <w:t xml:space="preserve">PA</w:t>
            </w:r>
          </w:p>
        </w:tc>
        <w:tc>
          <w:tcPr>
            <w:vAlign w:val="center"/>
          </w:tcPr>
          <w:p>
            <w:r>
              <w:t xml:space="preserve">17325</w:t>
            </w:r>
          </w:p>
        </w:tc>
      </w:tr>
      <w:tr>
        <w:tc>
          <w:tcPr>
            <w:gridSpan w:val="2"/>
            <w:vAlign w:val="center"/>
          </w:tcPr>
          <w:p>
            <w:r>
              <w:rPr>
                <w:b/>
              </w:rPr>
              <w:t xml:space="preserve">Chief School Administrator</w:t>
            </w:r>
          </w:p>
        </w:tc>
        <w:tc>
          <w:tcPr>
            <w:vAlign w:val="center"/>
          </w:tcPr>
          <w:p>
            <w:r>
              <w:rPr>
                <w:b/>
              </w:rPr>
              <w:t xml:space="preserve">Chief School Administrator Email</w:t>
            </w:r>
          </w:p>
        </w:tc>
      </w:tr>
      <w:tr>
        <w:tc>
          <w:tcPr>
            <w:gridSpan w:val="2"/>
            <w:vAlign w:val="center"/>
          </w:tcPr>
          <w:p>
            <w:r>
              <w:t xml:space="preserve">Dr Faye  Pleso </w:t>
            </w:r>
          </w:p>
        </w:tc>
        <w:tc>
          <w:tcPr>
            <w:vAlign w:val="center"/>
          </w:tcPr>
          <w:p>
            <w:r>
              <w:t xml:space="preserve">fayepleso@gettysburgmontessoricharter.org</w:t>
            </w:r>
          </w:p>
        </w:tc>
      </w:tr>
      <w:tr>
        <w:tc>
          <w:tcPr>
            <w:gridSpan w:val="3"/>
            <w:vAlign w:val="center"/>
          </w:tcPr>
          <w:p>
            <w:r>
              <w:rPr>
                <w:b/>
              </w:rPr>
              <w:t xml:space="preserve">Single Point of Contact Name</w:t>
            </w:r>
          </w:p>
        </w:tc>
      </w:tr>
      <w:tr>
        <w:tc>
          <w:tcPr>
            <w:gridSpan w:val="3"/>
            <w:vAlign w:val="center"/>
          </w:tcPr>
          <w:p>
            <w:r>
              <w:t xml:space="preserve">Dr. Faye Pleso</w:t>
            </w:r>
          </w:p>
        </w:tc>
      </w:tr>
      <w:tr>
        <w:tc>
          <w:tcPr>
            <w:gridSpan w:val="3"/>
            <w:vAlign w:val="center"/>
          </w:tcPr>
          <w:p>
            <w:r>
              <w:rPr>
                <w:b/>
              </w:rPr>
              <w:t xml:space="preserve">Single Point of Contact Email</w:t>
            </w:r>
          </w:p>
        </w:tc>
      </w:tr>
      <w:tr>
        <w:tc>
          <w:tcPr>
            <w:gridSpan w:val="3"/>
            <w:vAlign w:val="center"/>
          </w:tcPr>
          <w:p>
            <w:r>
              <w:t xml:space="preserve">fayepleso@gettysburgmontessoricharter.org</w:t>
            </w:r>
          </w:p>
        </w:tc>
      </w:tr>
      <w:tr>
        <w:tc>
          <w:tcPr>
            <w:gridSpan w:val="2"/>
            <w:vAlign w:val="center"/>
          </w:tcPr>
          <w:p>
            <w:r>
              <w:rPr>
                <w:b/>
              </w:rPr>
              <w:t xml:space="preserve">Single Point of Contact Phone Number</w:t>
            </w:r>
          </w:p>
        </w:tc>
        <w:tc>
          <w:tcPr>
            <w:vAlign w:val="center"/>
          </w:tcPr>
          <w:p>
            <w:r>
              <w:rPr>
                <w:b/>
              </w:rPr>
              <w:t xml:space="preserve">Single Point of Contact Extension</w:t>
            </w:r>
          </w:p>
        </w:tc>
      </w:tr>
      <w:tr>
        <w:tc>
          <w:tcPr>
            <w:gridSpan w:val="2"/>
            <w:vAlign w:val="center"/>
          </w:tcPr>
          <w:p>
            <w:r>
              <w:t xml:space="preserve">7173341120</w:t>
            </w:r>
          </w:p>
        </w:tc>
        <w:tc>
          <w:tcPr>
            <w:vAlign w:val="center"/>
          </w:tcPr>
          <w:p/>
        </w:tc>
      </w:tr>
      <w:tr>
        <w:tc>
          <w:tcPr>
            <w:gridSpan w:val="3"/>
            <w:vAlign w:val="center"/>
          </w:tcPr>
          <w:p>
            <w:r>
              <w:rPr>
                <w:b/>
              </w:rPr>
              <w:t xml:space="preserve">Principal Name</w:t>
            </w:r>
          </w:p>
        </w:tc>
      </w:tr>
      <w:tr>
        <w:tc>
          <w:tcPr>
            <w:gridSpan w:val="3"/>
            <w:vAlign w:val="center"/>
          </w:tcPr>
          <w:p>
            <w:r>
              <w:t xml:space="preserve">Dr. Faye Pleso</w:t>
            </w:r>
          </w:p>
        </w:tc>
      </w:tr>
      <w:tr>
        <w:tc>
          <w:tcPr>
            <w:gridSpan w:val="3"/>
            <w:vAlign w:val="center"/>
          </w:tcPr>
          <w:p>
            <w:r>
              <w:rPr>
                <w:b/>
              </w:rPr>
              <w:t xml:space="preserve">Principal Email</w:t>
            </w:r>
          </w:p>
        </w:tc>
      </w:tr>
      <w:tr>
        <w:tc>
          <w:tcPr>
            <w:gridSpan w:val="3"/>
            <w:vAlign w:val="center"/>
          </w:tcPr>
          <w:p>
            <w:r>
              <w:t xml:space="preserve">fayepleso@gettysburgmontessoricharter.org</w:t>
            </w:r>
          </w:p>
        </w:tc>
      </w:tr>
      <w:tr>
        <w:tc>
          <w:tcPr>
            <w:gridSpan w:val="2"/>
            <w:vAlign w:val="center"/>
          </w:tcPr>
          <w:p>
            <w:r>
              <w:rPr>
                <w:b/>
              </w:rPr>
              <w:t xml:space="preserve">Principal Phone Number</w:t>
            </w:r>
          </w:p>
        </w:tc>
        <w:tc>
          <w:tcPr>
            <w:vAlign w:val="center"/>
          </w:tcPr>
          <w:p>
            <w:r>
              <w:rPr>
                <w:b/>
              </w:rPr>
              <w:t xml:space="preserve">Principal Extension</w:t>
            </w:r>
          </w:p>
        </w:tc>
      </w:tr>
      <w:tr>
        <w:tc>
          <w:tcPr>
            <w:gridSpan w:val="2"/>
            <w:vAlign w:val="center"/>
          </w:tcPr>
          <w:p>
            <w:r>
              <w:t xml:space="preserve">7173341120</w:t>
            </w:r>
          </w:p>
        </w:tc>
        <w:tc>
          <w:tcPr>
            <w:vAlign w:val="center"/>
          </w:tcPr>
          <w:p/>
        </w:tc>
      </w:tr>
      <w:tr>
        <w:tc>
          <w:tcPr>
            <w:gridSpan w:val="2"/>
            <w:vAlign w:val="center"/>
          </w:tcPr>
          <w:p>
            <w:r>
              <w:rPr>
                <w:b/>
              </w:rPr>
              <w:t xml:space="preserve">School Improvement Facilitator Name</w:t>
            </w:r>
          </w:p>
        </w:tc>
        <w:tc>
          <w:tcPr>
            <w:vAlign w:val="center"/>
          </w:tcPr>
          <w:p>
            <w:r>
              <w:rPr>
                <w:b/>
              </w:rPr>
              <w:t xml:space="preserve">School Improvement Facilitator Email</w:t>
            </w:r>
          </w:p>
        </w:tc>
      </w:tr>
      <w:tr>
        <w:tc>
          <w:tcPr>
            <w:gridSpan w:val="2"/>
            <w:vAlign w:val="center"/>
          </w:tcPr>
          <w:p>
            <w:r>
              <w:t xml:space="preserve">Dr. Faye Pleso</w:t>
            </w:r>
          </w:p>
        </w:tc>
        <w:tc>
          <w:tcPr>
            <w:vAlign w:val="center"/>
          </w:tcPr>
          <w:p/>
        </w:tc>
      </w:tr>
    </w:tbl>
    <w:p>
      <w:r>
        <w:br/>
      </w:r>
      <w:r>
        <w:br/>
      </w:r>
      <w:r>
        <w:br/>
      </w:r>
      <w:r>
        <w:br/>
      </w:r>
      <w:r>
        <w:br/>
      </w:r>
      <w:r>
        <w:br/>
      </w:r>
      <w:r>
        <w:br w:type="page"/>
      </w:r>
      <w:r>
        <w:lastRenderedPageBreak/>
      </w:r>
    </w:p>
    <w:p>
      <w:pPr>
        <w:pStyle w:val="Heading1"/>
      </w:pPr>
      <w:r>
        <w:t xml:space="preserve">Steering Committee</w:t>
      </w:r>
    </w:p>
    <w:tbl>
      <w:tblPr>
        <w:tblStyle w:val="TableGrid"/>
        <w:tblW w:w="5000" w:type="pct"/>
      </w:tblPr>
      <w:tblGrid>
        <w:gridCol/>
        <w:gridCol/>
        <w:gridCol/>
        <w:gridCol/>
      </w:tblGrid>
      <w:tr>
        <w:tc>
          <w:tcPr>
            <w:tcW w:w="3000" w:type="dxa"/>
            <w:vAlign w:val="center"/>
          </w:tcPr>
          <w:p>
            <w:r>
              <w:t xml:space="preserve">Name</w:t>
            </w:r>
          </w:p>
        </w:tc>
        <w:tc>
          <w:tcPr>
            <w:tcW w:w="3000" w:type="dxa"/>
            <w:vAlign w:val="center"/>
          </w:tcPr>
          <w:p>
            <w:r>
              <w:t xml:space="preserve">Position/Role</w:t>
            </w:r>
          </w:p>
        </w:tc>
        <w:tc>
          <w:tcPr>
            <w:tcW w:w="3000" w:type="dxa"/>
            <w:vAlign w:val="center"/>
          </w:tcPr>
          <w:p>
            <w:r>
              <w:t xml:space="preserve">Building/Group/Organization</w:t>
            </w:r>
          </w:p>
        </w:tc>
        <w:tc>
          <w:tcPr>
            <w:tcW w:w="3000" w:type="dxa"/>
            <w:vAlign w:val="center"/>
          </w:tcPr>
          <w:p>
            <w:r>
              <w:t xml:space="preserve">Email</w:t>
            </w:r>
          </w:p>
        </w:tc>
      </w:tr>
      <w:tr>
        <w:tc>
          <w:tcPr>
            <w:vAlign w:val="center"/>
          </w:tcPr>
          <w:p>
            <w:r>
              <w:t xml:space="preserve">Dr. Faye Pleso                                                </w:t>
            </w:r>
          </w:p>
        </w:tc>
        <w:tc>
          <w:tcPr>
            <w:vAlign w:val="center"/>
          </w:tcPr>
          <w:p>
            <w:r>
              <w:t xml:space="preserve">Administrator                                                </w:t>
            </w:r>
          </w:p>
        </w:tc>
        <w:tc>
          <w:tcPr>
            <w:vAlign w:val="center"/>
          </w:tcPr>
          <w:p>
            <w:r>
              <w:t xml:space="preserve">Gettysburg Montessori Charter School                                                </w:t>
            </w:r>
          </w:p>
        </w:tc>
        <w:tc>
          <w:tcPr>
            <w:vAlign w:val="center"/>
          </w:tcPr>
          <w:p>
            <w:r>
              <w:t xml:space="preserve">fayepleso@gettysburgmontessoricharter.org                                                </w:t>
            </w:r>
          </w:p>
        </w:tc>
      </w:tr>
      <w:tr>
        <w:tc>
          <w:tcPr>
            <w:vAlign w:val="center"/>
          </w:tcPr>
          <w:p>
            <w:r>
              <w:t xml:space="preserve">Dr. Tammy Hogan                                                </w:t>
            </w:r>
          </w:p>
        </w:tc>
        <w:tc>
          <w:tcPr>
            <w:vAlign w:val="center"/>
          </w:tcPr>
          <w:p>
            <w:r>
              <w:t xml:space="preserve">Administrator                                                </w:t>
            </w:r>
          </w:p>
        </w:tc>
        <w:tc>
          <w:tcPr>
            <w:vAlign w:val="center"/>
          </w:tcPr>
          <w:p>
            <w:r>
              <w:t xml:space="preserve">Gettysburg Montessori Charter School                                                </w:t>
            </w:r>
          </w:p>
        </w:tc>
        <w:tc>
          <w:tcPr>
            <w:vAlign w:val="center"/>
          </w:tcPr>
          <w:p>
            <w:r>
              <w:t xml:space="preserve">thogan@gettysburgmontessoricharter.org                                                </w:t>
            </w:r>
          </w:p>
        </w:tc>
      </w:tr>
      <w:tr>
        <w:tc>
          <w:tcPr>
            <w:vAlign w:val="center"/>
          </w:tcPr>
          <w:p>
            <w:r>
              <w:t xml:space="preserve">Nicole Wilt                                                </w:t>
            </w:r>
          </w:p>
        </w:tc>
        <w:tc>
          <w:tcPr>
            <w:vAlign w:val="center"/>
          </w:tcPr>
          <w:p>
            <w:r>
              <w:t xml:space="preserve">Staff Member                                                </w:t>
            </w:r>
          </w:p>
        </w:tc>
        <w:tc>
          <w:tcPr>
            <w:vAlign w:val="center"/>
          </w:tcPr>
          <w:p>
            <w:r>
              <w:t xml:space="preserve">Gettysburg Montessori Charter School                                                </w:t>
            </w:r>
          </w:p>
        </w:tc>
        <w:tc>
          <w:tcPr>
            <w:vAlign w:val="center"/>
          </w:tcPr>
          <w:p>
            <w:r>
              <w:t xml:space="preserve">nwilt@gettysburgmontessoricharter.org                                                </w:t>
            </w:r>
          </w:p>
        </w:tc>
      </w:tr>
      <w:tr>
        <w:tc>
          <w:tcPr>
            <w:vAlign w:val="center"/>
          </w:tcPr>
          <w:p>
            <w:r>
              <w:t xml:space="preserve">Nicole Gulden                                                </w:t>
            </w:r>
          </w:p>
        </w:tc>
        <w:tc>
          <w:tcPr>
            <w:vAlign w:val="center"/>
          </w:tcPr>
          <w:p>
            <w:r>
              <w:t xml:space="preserve">Teacher                                                </w:t>
            </w:r>
          </w:p>
        </w:tc>
        <w:tc>
          <w:tcPr>
            <w:vAlign w:val="center"/>
          </w:tcPr>
          <w:p>
            <w:r>
              <w:t xml:space="preserve">Gettysburg Montessori Charter School                                                </w:t>
            </w:r>
          </w:p>
        </w:tc>
        <w:tc>
          <w:tcPr>
            <w:vAlign w:val="center"/>
          </w:tcPr>
          <w:p>
            <w:r>
              <w:t xml:space="preserve">ngulden@gettysburgmontessoricharter.org                                                </w:t>
            </w:r>
          </w:p>
        </w:tc>
      </w:tr>
      <w:tr>
        <w:tc>
          <w:tcPr>
            <w:vAlign w:val="center"/>
          </w:tcPr>
          <w:p>
            <w:r>
              <w:t xml:space="preserve">Kelsey Rudy                                                </w:t>
            </w:r>
          </w:p>
        </w:tc>
        <w:tc>
          <w:tcPr>
            <w:vAlign w:val="center"/>
          </w:tcPr>
          <w:p>
            <w:r>
              <w:t xml:space="preserve">Parent                                                </w:t>
            </w:r>
          </w:p>
        </w:tc>
        <w:tc>
          <w:tcPr>
            <w:vAlign w:val="center"/>
          </w:tcPr>
          <w:p>
            <w:r>
              <w:t xml:space="preserve">Gettysburg Montessori Charter School                                                </w:t>
            </w:r>
          </w:p>
        </w:tc>
        <w:tc>
          <w:tcPr>
            <w:vAlign w:val="center"/>
          </w:tcPr>
          <w:p>
            <w:r>
              <w:t xml:space="preserve">krudy@gettysburgmontessoricharter.org                                                </w:t>
            </w:r>
          </w:p>
        </w:tc>
      </w:tr>
      <w:tr>
        <w:tc>
          <w:tcPr>
            <w:vAlign w:val="center"/>
          </w:tcPr>
          <w:p>
            <w:r>
              <w:t xml:space="preserve">Shamin Jegan                                                </w:t>
            </w:r>
          </w:p>
        </w:tc>
        <w:tc>
          <w:tcPr>
            <w:vAlign w:val="center"/>
          </w:tcPr>
          <w:p>
            <w:r>
              <w:t xml:space="preserve">Staff Member                                                </w:t>
            </w:r>
          </w:p>
        </w:tc>
        <w:tc>
          <w:tcPr>
            <w:vAlign w:val="center"/>
          </w:tcPr>
          <w:p>
            <w:r>
              <w:t xml:space="preserve">Gettysburg Montessori Charter School                                                </w:t>
            </w:r>
          </w:p>
        </w:tc>
        <w:tc>
          <w:tcPr>
            <w:vAlign w:val="center"/>
          </w:tcPr>
          <w:p>
            <w:r>
              <w:t xml:space="preserve">sjegan@gettysburgmontessoricharter.org                                                </w:t>
            </w:r>
          </w:p>
        </w:tc>
      </w:tr>
      <w:tr>
        <w:tc>
          <w:tcPr>
            <w:vAlign w:val="center"/>
          </w:tcPr>
          <w:p>
            <w:r>
              <w:t xml:space="preserve">Rebeka Black                                                </w:t>
            </w:r>
          </w:p>
        </w:tc>
        <w:tc>
          <w:tcPr>
            <w:vAlign w:val="center"/>
          </w:tcPr>
          <w:p>
            <w:r>
              <w:t xml:space="preserve">Administrator                                                </w:t>
            </w:r>
          </w:p>
        </w:tc>
        <w:tc>
          <w:tcPr>
            <w:vAlign w:val="center"/>
          </w:tcPr>
          <w:p>
            <w:r>
              <w:t xml:space="preserve">Gettysburg Montessori Charter School                                                </w:t>
            </w:r>
          </w:p>
        </w:tc>
        <w:tc>
          <w:tcPr>
            <w:vAlign w:val="center"/>
          </w:tcPr>
          <w:p>
            <w:r>
              <w:t xml:space="preserve">becky@gettysburgmontessoricharter.org                                                </w:t>
            </w:r>
          </w:p>
        </w:tc>
      </w:tr>
      <w:tr>
        <w:tc>
          <w:tcPr>
            <w:vAlign w:val="center"/>
          </w:tcPr>
          <w:p>
            <w:r>
              <w:t xml:space="preserve">Anya Conner                                                 </w:t>
            </w:r>
          </w:p>
        </w:tc>
        <w:tc>
          <w:tcPr>
            <w:vAlign w:val="center"/>
          </w:tcPr>
          <w:p>
            <w:r>
              <w:t xml:space="preserve">Staff Member                                                </w:t>
            </w:r>
          </w:p>
        </w:tc>
        <w:tc>
          <w:tcPr>
            <w:vAlign w:val="center"/>
          </w:tcPr>
          <w:p>
            <w:r>
              <w:t xml:space="preserve">Gettysburg Montessori Charter School                                                </w:t>
            </w:r>
          </w:p>
        </w:tc>
        <w:tc>
          <w:tcPr>
            <w:vAlign w:val="center"/>
          </w:tcPr>
          <w:p>
            <w:r>
              <w:t xml:space="preserve">aconner@gettysburgmontessoricharter.org                                                </w:t>
            </w:r>
          </w:p>
        </w:tc>
      </w:tr>
      <w:tr>
        <w:tc>
          <w:tcPr>
            <w:vAlign w:val="center"/>
          </w:tcPr>
          <w:p>
            <w:r>
              <w:t xml:space="preserve">Rose Thornberry                                                </w:t>
            </w:r>
          </w:p>
        </w:tc>
        <w:tc>
          <w:tcPr>
            <w:vAlign w:val="center"/>
          </w:tcPr>
          <w:p>
            <w:r>
              <w:t xml:space="preserve">Board Member                                                </w:t>
            </w:r>
          </w:p>
        </w:tc>
        <w:tc>
          <w:tcPr>
            <w:vAlign w:val="center"/>
          </w:tcPr>
          <w:p>
            <w:r>
              <w:t xml:space="preserve">Gettysburg Montessori Charter School                                                </w:t>
            </w:r>
          </w:p>
        </w:tc>
        <w:tc>
          <w:tcPr>
            <w:vAlign w:val="center"/>
          </w:tcPr>
          <w:p>
            <w:r>
              <w:t xml:space="preserve">rthornberry@gettysburgmontessoricharter.org                                                </w:t>
            </w:r>
          </w:p>
        </w:tc>
      </w:tr>
      <w:tr>
        <w:tc>
          <w:tcPr>
            <w:vAlign w:val="center"/>
          </w:tcPr>
          <w:p>
            <w:r>
              <w:t xml:space="preserve">Delaney Massey                                                </w:t>
            </w:r>
          </w:p>
        </w:tc>
        <w:tc>
          <w:tcPr>
            <w:vAlign w:val="center"/>
          </w:tcPr>
          <w:p>
            <w:r>
              <w:t xml:space="preserve">Teacher                                                </w:t>
            </w:r>
          </w:p>
        </w:tc>
        <w:tc>
          <w:tcPr>
            <w:vAlign w:val="center"/>
          </w:tcPr>
          <w:p>
            <w:r>
              <w:t xml:space="preserve">Gettysburg Montessori Charter School                                                </w:t>
            </w:r>
          </w:p>
        </w:tc>
        <w:tc>
          <w:tcPr>
            <w:vAlign w:val="center"/>
          </w:tcPr>
          <w:p>
            <w:r>
              <w:t xml:space="preserve">dmassey@gettysburgmontessoricharter.org                                                </w:t>
            </w:r>
          </w:p>
        </w:tc>
      </w:tr>
      <w:tr>
        <w:tc>
          <w:tcPr>
            <w:vAlign w:val="center"/>
          </w:tcPr>
          <w:p/>
        </w:tc>
        <w:tc>
          <w:tcPr>
            <w:vAlign w:val="center"/>
          </w:tcPr>
          <w:p/>
        </w:tc>
        <w:tc>
          <w:tcPr>
            <w:vAlign w:val="center"/>
          </w:tcPr>
          <w:p/>
        </w:tc>
        <w:tc>
          <w:tcPr>
            <w:vAlign w:val="center"/>
          </w:tcPr>
          <w:p/>
        </w:tc>
      </w:tr>
      <w:tr>
        <w:tc>
          <w:tcPr>
            <w:vAlign w:val="center"/>
          </w:tcPr>
          <w:p>
            <w:r>
              <w:t xml:space="preserve">Lauren Stauffer                                                </w:t>
            </w:r>
          </w:p>
        </w:tc>
        <w:tc>
          <w:tcPr>
            <w:vAlign w:val="center"/>
          </w:tcPr>
          <w:p>
            <w:r>
              <w:t xml:space="preserve">Teacher                                                </w:t>
            </w:r>
          </w:p>
        </w:tc>
        <w:tc>
          <w:tcPr>
            <w:vAlign w:val="center"/>
          </w:tcPr>
          <w:p>
            <w:r>
              <w:t xml:space="preserve">Gettysburg Montessori Charter School                                                </w:t>
            </w:r>
          </w:p>
        </w:tc>
        <w:tc>
          <w:tcPr>
            <w:vAlign w:val="center"/>
          </w:tcPr>
          <w:p>
            <w:r>
              <w:t xml:space="preserve">lstauffer@gettysburgmontessoricharter.org                                                </w:t>
            </w:r>
          </w:p>
        </w:tc>
      </w:tr>
      <w:tr>
        <w:tc>
          <w:tcPr>
            <w:vAlign w:val="center"/>
          </w:tcPr>
          <w:p>
            <w:r>
              <w:t xml:space="preserve">Melanie Kansagra                                                </w:t>
            </w:r>
          </w:p>
        </w:tc>
        <w:tc>
          <w:tcPr>
            <w:vAlign w:val="center"/>
          </w:tcPr>
          <w:p>
            <w:r>
              <w:t xml:space="preserve">Teacher                                                </w:t>
            </w:r>
          </w:p>
        </w:tc>
        <w:tc>
          <w:tcPr>
            <w:vAlign w:val="center"/>
          </w:tcPr>
          <w:p>
            <w:r>
              <w:t xml:space="preserve">Gettysburg Montessori Charter School                                                </w:t>
            </w:r>
          </w:p>
        </w:tc>
        <w:tc>
          <w:tcPr>
            <w:vAlign w:val="center"/>
          </w:tcPr>
          <w:p>
            <w:r>
              <w:t xml:space="preserve">mkansagra@gettysburgmontessoricharter.org                                                </w:t>
            </w:r>
          </w:p>
        </w:tc>
      </w:tr>
      <w:tr>
        <w:tc>
          <w:tcPr>
            <w:vAlign w:val="center"/>
          </w:tcPr>
          <w:p>
            <w:r>
              <w:t xml:space="preserve">Cheryl Sornson                                                </w:t>
            </w:r>
          </w:p>
        </w:tc>
        <w:tc>
          <w:tcPr>
            <w:vAlign w:val="center"/>
          </w:tcPr>
          <w:p>
            <w:r>
              <w:t xml:space="preserve">Staff Member                                                </w:t>
            </w:r>
          </w:p>
        </w:tc>
        <w:tc>
          <w:tcPr>
            <w:vAlign w:val="center"/>
          </w:tcPr>
          <w:p>
            <w:r>
              <w:t xml:space="preserve">Gettysburg Montessori Charter School                                                </w:t>
            </w:r>
          </w:p>
        </w:tc>
        <w:tc>
          <w:tcPr>
            <w:vAlign w:val="center"/>
          </w:tcPr>
          <w:p>
            <w:r>
              <w:t xml:space="preserve">csornson@gettysburgmontessoricharter.org                                                </w:t>
            </w:r>
          </w:p>
        </w:tc>
      </w:tr>
      <w:tr>
        <w:tc>
          <w:tcPr>
            <w:vAlign w:val="center"/>
          </w:tcPr>
          <w:p/>
        </w:tc>
        <w:tc>
          <w:tcPr>
            <w:vAlign w:val="center"/>
          </w:tcPr>
          <w:p/>
        </w:tc>
        <w:tc>
          <w:tcPr>
            <w:vAlign w:val="center"/>
          </w:tcPr>
          <w:p/>
        </w:tc>
        <w:tc>
          <w:tcPr>
            <w:vAlign w:val="center"/>
          </w:tcPr>
          <w:p/>
        </w:tc>
      </w:tr>
      <w:tr>
        <w:tc>
          <w:tcPr>
            <w:vAlign w:val="center"/>
          </w:tcPr>
          <w:p/>
        </w:tc>
        <w:tc>
          <w:tcPr>
            <w:vAlign w:val="center"/>
          </w:tcPr>
          <w:p/>
        </w:tc>
        <w:tc>
          <w:tcPr>
            <w:vAlign w:val="center"/>
          </w:tcPr>
          <w:p/>
        </w:tc>
        <w:tc>
          <w:tcPr>
            <w:vAlign w:val="center"/>
          </w:tcPr>
          <w:p/>
        </w:tc>
      </w:tr>
      <w:tr>
        <w:tc>
          <w:tcPr>
            <w:vAlign w:val="center"/>
          </w:tcPr>
          <w:p/>
        </w:tc>
        <w:tc>
          <w:tcPr>
            <w:vAlign w:val="center"/>
          </w:tcPr>
          <w:p/>
        </w:tc>
        <w:tc>
          <w:tcPr>
            <w:vAlign w:val="center"/>
          </w:tcPr>
          <w:p/>
        </w:tc>
        <w:tc>
          <w:tcPr>
            <w:vAlign w:val="center"/>
          </w:tcPr>
          <w:p/>
        </w:tc>
      </w:tr>
      <w:tr>
        <w:tc>
          <w:tcPr>
            <w:vAlign w:val="center"/>
          </w:tcPr>
          <w:p/>
        </w:tc>
        <w:tc>
          <w:tcPr>
            <w:vAlign w:val="center"/>
          </w:tcPr>
          <w:p/>
        </w:tc>
        <w:tc>
          <w:tcPr>
            <w:vAlign w:val="center"/>
          </w:tcPr>
          <w:p/>
        </w:tc>
        <w:tc>
          <w:tcPr>
            <w:vAlign w:val="center"/>
          </w:tcPr>
          <w:p/>
        </w:tc>
      </w:tr>
    </w:tbl>
    <w:p>
      <w:r>
        <w:br/>
      </w:r>
      <w:r>
        <w:br/>
      </w:r>
      <w:r>
        <w:br/>
      </w:r>
      <w:r>
        <w:br/>
      </w:r>
      <w:r>
        <w:br/>
      </w:r>
      <w:r>
        <w:br/>
      </w:r>
      <w:r>
        <w:br w:type="page"/>
      </w:r>
      <w:r>
        <w:lastRenderedPageBreak/>
      </w:r>
    </w:p>
    <w:p>
      <w:pPr>
        <w:pStyle w:val="Heading1"/>
      </w:pPr>
      <w:r>
        <w:t xml:space="preserve">LEA Profile</w:t>
      </w:r>
    </w:p>
    <w:p>
      <w:pPr>
        <w:pStyle w:val="Heading2"/>
      </w:pPr>
      <w:r>
        <w:t xml:space="preserve">Gettysburg Montessori Charter School (GMCS) – LEA Descriptive Profile</w:t>
      </w:r>
    </w:p>
    <w:p>
      <w:pPr>
        <w:pStyle w:val="Heading3"/>
      </w:pPr>
      <w:r>
        <w:t xml:space="preserve">Overview</w:t>
      </w:r>
    </w:p>
    <w:p>
      <w:r>
        <w:t xml:space="preserve">Gettysburg Montessori Charter School (GMCS) is a public charter school located in the historic community of Gettysburg, Pennsylvania, serving students in Kindergarten through Grade 6. As a tuition-free public school of choice, GMCS draws students from multiple districts across Adams County and neighboring regions. Our educational approach integrates Pennsylvania academic standards with the Montessori philosophy—an instructional model designed to nurture curiosity, independence, and lifelong learning.</w:t>
      </w:r>
    </w:p>
    <w:p>
      <w:pPr>
        <w:pStyle w:val="Heading3"/>
      </w:pPr>
      <w:r>
        <w:t xml:space="preserve">Mission and Vision</w:t>
      </w:r>
    </w:p>
    <w:p>
      <w:r>
        <w:t xml:space="preserve">Our mission is to foster the intellectual, emotional, social, and physical development of each child by providing a learning environment grounded in respect, independence, and individualized instruction. Through authentic Montessori practices and state-aligned academic expectations, we empower students to reach their fullest potential as confident learners and compassionate citizens.</w:t>
      </w:r>
    </w:p>
    <w:p>
      <w:r>
        <w:t xml:space="preserve">Our vision is to inspire, guide, and empower every student to lead meaningful lives, pursue their aspirations, and contribute positively to a diverse and changing world.</w:t>
      </w:r>
    </w:p>
    <w:p>
      <w:pPr>
        <w:pStyle w:val="Heading3"/>
      </w:pPr>
      <w:r>
        <w:t xml:space="preserve">Geographic and Demographic Context</w:t>
      </w:r>
    </w:p>
    <w:p>
      <w:r>
        <w:t xml:space="preserve">Situated in south-central Pennsylvania, GMCS serves a mix of rural and small-town communities characterized by strong family values, agricultural roots, and increasing diversity. The school’s enrollment reflects a cross-section of socioeconomic backgrounds, including families from both the Gettysburg Borough and surrounding townships. The area benefits from a rich historical heritage, proximity to higher education institutions, and access to community resources that strengthen educational partnerships.</w:t>
      </w:r>
    </w:p>
    <w:p>
      <w:pPr>
        <w:pStyle w:val="Heading3"/>
      </w:pPr>
      <w:r>
        <w:t xml:space="preserve">Educational Approach and Strengths</w:t>
      </w:r>
    </w:p>
    <w:p>
      <w:r>
        <w:t xml:space="preserve">GMCS’s greatest strength lies in its integration of the Montessori method within the public school framework. Students engage in multi-age classrooms that promote peer mentoring, self-directed learning, and hands-on exploration. The school’s dedicated, Montessori-trained, and Pennsylvania-certified educators cultivate an atmosphere of respect, collaboration, and academic rigor.</w:t>
      </w:r>
    </w:p>
    <w:p>
      <w:r>
        <w:t xml:space="preserve">Other key strengths include:</w:t>
      </w:r>
    </w:p>
    <w:p>
      <w:r>
        <w:t xml:space="preserve">Student-to-teacher ratios support individualized attention.</w:t>
      </w:r>
    </w:p>
    <w:p>
      <w:r>
        <w:t xml:space="preserve">Emphasis on social-emotional learning, mindfulness, and self-regulation.</w:t>
      </w:r>
    </w:p>
    <w:p>
      <w:r>
        <w:t xml:space="preserve">High levels of family and community engagement through events, advisory groups, and volunteer participation.</w:t>
      </w:r>
    </w:p>
    <w:p>
      <w:r>
        <w:t xml:space="preserve">A supportive learning environment that values inclusivity and diversity.</w:t>
      </w:r>
    </w:p>
    <w:p>
      <w:pPr>
        <w:pStyle w:val="Heading3"/>
      </w:pPr>
      <w:r>
        <w:t xml:space="preserve">Environmental Scan: Internal and External Influences</w:t>
      </w:r>
    </w:p>
    <w:p>
      <w:r>
        <w:rPr>
          <w:b/>
        </w:rPr>
        <w:t xml:space="preserve">Internal Factors:</w:t>
      </w:r>
    </w:p>
    <w:p>
      <w:r>
        <w:t xml:space="preserve">A strong, mission-driven staff with specialized Montessori training.</w:t>
      </w:r>
    </w:p>
    <w:p>
      <w:r>
        <w:t xml:space="preserve">A stable governance structure that supports continuous improvement.</w:t>
      </w:r>
    </w:p>
    <w:p>
      <w:r>
        <w:t xml:space="preserve">Strong academic and behavioral outcomes reflecting the effectiveness of Montessori principles.</w:t>
      </w:r>
    </w:p>
    <w:p>
      <w:r>
        <w:t xml:space="preserve">Identified needs in expanding upper-grade offerings and enriching STEM integration.</w:t>
      </w:r>
    </w:p>
    <w:p>
      <w:r>
        <w:rPr>
          <w:b/>
        </w:rPr>
        <w:t xml:space="preserve">External Factors:</w:t>
      </w:r>
    </w:p>
    <w:p>
      <w:r>
        <w:t xml:space="preserve">Changing local demographics and an evolving economic landscape.</w:t>
      </w:r>
    </w:p>
    <w:p>
      <w:r>
        <w:t xml:space="preserve">State-level charter school funding policies that influence long-term financial planning.</w:t>
      </w:r>
    </w:p>
    <w:p>
      <w:r>
        <w:t xml:space="preserve">Increased family interest in child-centered education models.</w:t>
      </w:r>
    </w:p>
    <w:p>
      <w:r>
        <w:t xml:space="preserve">Growing collaboration with local organizations, including libraries, museums, and universities, which provide experiential learning opportunities.</w:t>
      </w:r>
    </w:p>
    <w:p>
      <w:pPr>
        <w:pStyle w:val="Heading3"/>
      </w:pPr>
      <w:r>
        <w:t xml:space="preserve">Stakeholder Perceptions and Community Input</w:t>
      </w:r>
    </w:p>
    <w:p>
      <w:r>
        <w:t xml:space="preserve">Perceptual data from parent surveys, student reflections, and community forums consistently highlight GMCS’s welcoming environment, individualized attention, and commitment to nurturing the whole child. Families report high satisfaction with teacher engagement and communication, while staff express pride in a cohesive, mission-focused culture. Feedback also underscores continued interest in expanding extracurricular offerings and upper-grade options to meet community demand.</w:t>
      </w:r>
    </w:p>
    <w:p>
      <w:pPr>
        <w:pStyle w:val="Heading3"/>
      </w:pPr>
      <w:r>
        <w:t xml:space="preserve">Current Trends and Future Outlook</w:t>
      </w:r>
    </w:p>
    <w:p>
      <w:r>
        <w:t xml:space="preserve">GMCS is positioned for sustainable growth and continued academic innovation. The school’s commitment to maintaining the integrity of Montessori education while meeting public accountability standards provides a foundation for ongoing success. Looking ahead, the school plans to deepen its partnerships, enhance professional development, and expand programming to support students’ transition into middle school environments.</w:t>
      </w:r>
    </w:p>
    <w:p>
      <w:r>
        <w:br/>
      </w:r>
      <w:r>
        <w:br/>
      </w:r>
      <w:r>
        <w:br/>
      </w:r>
      <w:r>
        <w:br/>
      </w:r>
      <w:r>
        <w:br/>
      </w:r>
      <w:r>
        <w:br/>
      </w:r>
      <w:r>
        <w:br w:type="page"/>
      </w:r>
      <w:r>
        <w:lastRenderedPageBreak/>
      </w:r>
    </w:p>
    <w:p>
      <w:pPr>
        <w:pStyle w:val="Heading1"/>
      </w:pPr>
      <w:r>
        <w:t xml:space="preserve">Mission and Vision</w:t>
      </w:r>
    </w:p>
    <w:p>
      <w:r>
        <w:rPr>
          <w:b/>
        </w:rPr>
        <w:t xml:space="preserve">Mission</w:t>
      </w:r>
    </w:p>
    <w:p>
      <w:r>
        <w:t xml:space="preserve">Our mission is to nurture the whole child and inspire a lifelong love of learning through a Montessori-based curriculum that meets Pennsylvania State Academic Standards.
</w:t>
      </w:r>
    </w:p>
    <w:p>
      <w:r>
        <w:br/>
      </w:r>
    </w:p>
    <w:p>
      <w:r>
        <w:rPr>
          <w:b/>
        </w:rPr>
        <w:t xml:space="preserve">Vision</w:t>
      </w:r>
    </w:p>
    <w:p>
      <w:r>
        <w:t xml:space="preserve">Our vision is to guide, inspire, and empower children to become confident, compassionate, resilient citizens, who pursue their dreams, live with purpose, and make a positive impact on the world.
</w:t>
      </w:r>
    </w:p>
    <w:p>
      <w:r>
        <w:br/>
      </w:r>
      <w:r>
        <w:br/>
      </w:r>
      <w:r>
        <w:br/>
      </w:r>
      <w:r>
        <w:br/>
      </w:r>
      <w:r>
        <w:br/>
      </w:r>
      <w:r>
        <w:br/>
      </w:r>
      <w:r>
        <w:br/>
      </w:r>
      <w:r>
        <w:br w:type="page"/>
      </w:r>
      <w:r>
        <w:lastRenderedPageBreak/>
      </w:r>
    </w:p>
    <w:p>
      <w:pPr>
        <w:pStyle w:val="Heading1"/>
      </w:pPr>
      <w:r>
        <w:t xml:space="preserve">Educational Values</w:t>
      </w:r>
    </w:p>
    <w:p>
      <w:r>
        <w:rPr>
          <w:b/>
        </w:rPr>
        <w:t xml:space="preserve">Students</w:t>
      </w:r>
    </w:p>
    <w:p>
      <w:r>
        <w:t xml:space="preserve">Hands-on learning that inspires curiosity and creativity
Independent exploration that nurtures confidence and responsibility
Whole-child education that supports academic, social, and emotional growth
Freedom within limits that fosters self-discipline and decision-making
Grace and courtesy in all interactions
Self-regulation and mindfulness to promote balance and focus
Intrinsic motivation that drives a love of lifelong learning
Kindness, respect, and gratitude toward self and others
Compassion, perseverance, and leadership in learning and life
</w:t>
      </w:r>
    </w:p>
    <w:p>
      <w:r>
        <w:rPr>
          <w:b/>
        </w:rPr>
        <w:t xml:space="preserve">Staff</w:t>
      </w:r>
    </w:p>
    <w:p>
      <w:r>
        <w:t xml:space="preserve">Commitment to the Montessori philosophy and lifelong learning
Respect for each child’s individuality and potential
Collaboration and teamwork grounded in trust and open communication
Compassionate guidance that nurtures the whole child
Professional integrity and accountability in all actions
Mindfulness and self-reflection to support personal and professional growth
Positive leadership that models grace, courtesy, and respect
Dedication to creating a safe, inclusive, and joyful learning environment
Partnership with families and the community to support student success
Perseverance, creativity, and adaptability in meeting every learner’s needs
</w:t>
      </w:r>
    </w:p>
    <w:p>
      <w:r>
        <w:rPr>
          <w:b/>
        </w:rPr>
        <w:t xml:space="preserve">Administration</w:t>
      </w:r>
    </w:p>
    <w:p>
      <w:r>
        <w:t xml:space="preserve">Visionary leadership that upholds the Montessori philosophy and mission
Transparent communication that builds trust and collaboration
Integrity and accountability in all decisions and actions
Supportive leadership that empowers staff, students, and families
Equity and inclusivity in creating opportunities for all learners
Respectful relationships grounded in grace, courtesy, and compassion
Commitment to continuous growth, reflection, and innovation
Responsible stewardship of resources to sustain a thriving school community
Partnership with families, staff, and the Board to strengthen our shared vision
Dedication to nurturing a positive, safe, and inspiring environment for all
</w:t>
      </w:r>
    </w:p>
    <w:p>
      <w:r>
        <w:rPr>
          <w:b/>
        </w:rPr>
        <w:t xml:space="preserve">Parents</w:t>
      </w:r>
    </w:p>
    <w:p>
      <w:r>
        <w:t xml:space="preserve">Ensuring children get enough rest each night so they come to school ready to learn
Creating consistent routines at home that build independence and responsibility
Setting clear expectations and following through with natural consequences
Supporting school rules, values, and expectations at home
Reiterating and reinforcing the lessons, language, and problem-solving strategies used at school
Encouraging kindness, respect, and responsibility in everyday interactions
Promoting curiosity, exploration, and a love of learning beyond the classroom
Communicating openly and respectfully with teachers and staff
Participating in school events and volunteering when possible
Modeling mindfulness, grace, and courtesy in family life
</w:t>
      </w:r>
    </w:p>
    <w:p>
      <w:r>
        <w:rPr>
          <w:b/>
        </w:rPr>
        <w:t xml:space="preserve">Community</w:t>
      </w:r>
    </w:p>
    <w:p>
      <w:r>
        <w:t xml:space="preserve">Partnering with the school to provide real-world learning experiences, mentorships, and enrichment opportunities
Supporting local initiatives and programs that benefit our students and families
Volunteering time, expertise, or resources to enhance educational programs and events
Promoting awareness of our Montessori philosophy and celebrating student achievements
Building connections between the school, local businesses, and organizations to strengthen community engagement
Encouraging civic responsibility, environmental stewardship, and service learning
Participating in school activities, performances, and celebrations to show support for our students
Helping create a safe, inclusive, and welcoming community where every child can thrive
</w:t>
      </w:r>
    </w:p>
    <w:p>
      <w:r>
        <w:rPr>
          <w:b/>
        </w:rPr>
        <w:t xml:space="preserve">Other (Optional)</w:t>
      </w:r>
    </w:p>
    <w:p>
      <w:r>
        <w:t xml:space="preserve">Omit selected.</w:t>
      </w:r>
    </w:p>
    <w:p>
      <w:r>
        <w:br/>
      </w:r>
      <w:r>
        <w:br/>
      </w:r>
      <w:r>
        <w:br/>
      </w:r>
      <w:r>
        <w:br/>
      </w:r>
      <w:r>
        <w:br/>
      </w:r>
      <w:r>
        <w:br/>
      </w:r>
      <w:r>
        <w:br w:type="page"/>
      </w:r>
      <w:r>
        <w:lastRenderedPageBreak/>
      </w:r>
    </w:p>
    <w:p>
      <w:pPr>
        <w:pStyle w:val="Heading1"/>
      </w:pPr>
      <w:r>
        <w:t xml:space="preserve">Future Ready PA Index</w:t>
      </w:r>
    </w:p>
    <w:p>
      <w:r>
        <w:t xml:space="preserve">Select the grade levels served by your school. Select all that apply.</w:t>
      </w:r>
    </w:p>
    <w:tbl>
      <w:tblPr>
        <w:tblStyle w:val="TableGrid"/>
        <w:tblW w:w="5000" w:type="pct"/>
      </w:tblPr>
      <w:tblGrid>
        <w:gridCol/>
        <w:gridCol/>
        <w:gridCol/>
        <w:gridCol/>
        <w:gridCol/>
        <w:gridCol/>
        <w:gridCol/>
      </w:tblGrid>
      <w:tr>
        <w:tc>
          <w:tcPr>
            <w:vAlign w:val="center"/>
          </w:tcPr>
          <w:p>
            <w:r>
              <w:rPr>
                <w:b/>
              </w:rPr>
              <w:t xml:space="preserve">True </w:t>
            </w:r>
            <w:r>
              <w:t xml:space="preserve">K</w:t>
            </w:r>
          </w:p>
        </w:tc>
        <w:tc>
          <w:tcPr>
            <w:vAlign w:val="center"/>
          </w:tcPr>
          <w:p>
            <w:r>
              <w:rPr>
                <w:b/>
              </w:rPr>
              <w:t xml:space="preserve">True </w:t>
            </w:r>
            <w:r>
              <w:t xml:space="preserve">1</w:t>
            </w:r>
          </w:p>
        </w:tc>
        <w:tc>
          <w:tcPr>
            <w:vAlign w:val="center"/>
          </w:tcPr>
          <w:p>
            <w:r>
              <w:rPr>
                <w:b/>
              </w:rPr>
              <w:t xml:space="preserve">True </w:t>
            </w:r>
            <w:r>
              <w:t xml:space="preserve">2</w:t>
            </w:r>
          </w:p>
        </w:tc>
        <w:tc>
          <w:tcPr>
            <w:vAlign w:val="center"/>
          </w:tcPr>
          <w:p>
            <w:r>
              <w:rPr>
                <w:b/>
              </w:rPr>
              <w:t xml:space="preserve">True </w:t>
            </w:r>
            <w:r>
              <w:t xml:space="preserve">3</w:t>
            </w:r>
          </w:p>
        </w:tc>
        <w:tc>
          <w:tcPr>
            <w:vAlign w:val="center"/>
          </w:tcPr>
          <w:p>
            <w:r>
              <w:rPr>
                <w:b/>
              </w:rPr>
              <w:t xml:space="preserve">True </w:t>
            </w:r>
            <w:r>
              <w:t xml:space="preserve">4</w:t>
            </w:r>
          </w:p>
        </w:tc>
        <w:tc>
          <w:tcPr>
            <w:vAlign w:val="center"/>
          </w:tcPr>
          <w:p>
            <w:r>
              <w:rPr>
                <w:b/>
              </w:rPr>
              <w:t xml:space="preserve">True </w:t>
            </w:r>
            <w:r>
              <w:t xml:space="preserve">5</w:t>
            </w:r>
          </w:p>
        </w:tc>
        <w:tc>
          <w:tcPr>
            <w:vAlign w:val="center"/>
          </w:tcPr>
          <w:p>
            <w:r>
              <w:rPr>
                <w:b/>
              </w:rPr>
              <w:t xml:space="preserve">True </w:t>
            </w:r>
            <w:r>
              <w:t xml:space="preserve">6</w:t>
            </w:r>
          </w:p>
        </w:tc>
      </w:tr>
      <w:tr>
        <w:tc>
          <w:tcPr>
            <w:vAlign w:val="center"/>
          </w:tcPr>
          <w:p>
            <w:r>
              <w:rPr>
                <w:b/>
              </w:rPr>
              <w:t xml:space="preserve">False </w:t>
            </w:r>
            <w:r>
              <w:t xml:space="preserve">7</w:t>
            </w:r>
          </w:p>
        </w:tc>
        <w:tc>
          <w:tcPr>
            <w:vAlign w:val="center"/>
          </w:tcPr>
          <w:p>
            <w:r>
              <w:rPr>
                <w:b/>
              </w:rPr>
              <w:t xml:space="preserve">False </w:t>
            </w:r>
            <w:r>
              <w:t xml:space="preserve">8</w:t>
            </w:r>
          </w:p>
        </w:tc>
        <w:tc>
          <w:tcPr>
            <w:vAlign w:val="center"/>
          </w:tcPr>
          <w:p>
            <w:r>
              <w:rPr>
                <w:b/>
              </w:rPr>
              <w:t xml:space="preserve">False </w:t>
            </w:r>
            <w:r>
              <w:t xml:space="preserve">9</w:t>
            </w:r>
          </w:p>
        </w:tc>
        <w:tc>
          <w:tcPr>
            <w:vAlign w:val="center"/>
          </w:tcPr>
          <w:p>
            <w:r>
              <w:rPr>
                <w:b/>
              </w:rPr>
              <w:t xml:space="preserve">False </w:t>
            </w:r>
            <w:r>
              <w:t xml:space="preserve">10</w:t>
            </w:r>
          </w:p>
        </w:tc>
        <w:tc>
          <w:tcPr>
            <w:vAlign w:val="center"/>
          </w:tcPr>
          <w:p>
            <w:r>
              <w:rPr>
                <w:b/>
              </w:rPr>
              <w:t xml:space="preserve">False </w:t>
            </w:r>
            <w:r>
              <w:t xml:space="preserve">11</w:t>
            </w:r>
          </w:p>
        </w:tc>
        <w:tc>
          <w:tcPr>
            <w:vAlign w:val="center"/>
          </w:tcPr>
          <w:p>
            <w:r>
              <w:rPr>
                <w:b/>
              </w:rPr>
              <w:t xml:space="preserve">False </w:t>
            </w:r>
            <w:r>
              <w:t xml:space="preserve">12</w:t>
            </w:r>
          </w:p>
        </w:tc>
      </w:tr>
    </w:tbl>
    <w:p>
      <w:r>
        <w:br/>
      </w:r>
    </w:p>
    <w:p>
      <w:pPr>
        <w:pStyle w:val="Heading2"/>
      </w:pPr>
      <w:r>
        <w:t xml:space="preserve">Proficient or Advanced in English Language Arts/Literature</w:t>
      </w:r>
    </w:p>
    <w:p>
      <w:pPr>
        <w:pStyle w:val="Heading2"/>
      </w:pPr>
      <w:r>
        <w:t xml:space="preserve">Review of the School(s) Level Performance</w:t>
      </w:r>
    </w:p>
    <w:p>
      <w:pPr>
        <w:pStyle w:val="Heading3"/>
      </w:pPr>
      <w:r>
        <w:t xml:space="preserve">Strengths</w:t>
      </w:r>
    </w:p>
    <w:tbl>
      <w:tblPr>
        <w:tblStyle w:val="TableGrid"/>
        <w:tblW w:w="5000" w:type="pct"/>
      </w:tblPr>
      <w:tblGrid>
        <w:gridCol/>
        <w:gridCol/>
      </w:tblGrid>
      <w:tr>
        <w:tc>
          <w:tcPr>
            <w:vAlign w:val="center"/>
          </w:tcPr>
          <w:p>
            <w:r>
              <w:t xml:space="preserve">Indicator</w:t>
            </w:r>
          </w:p>
        </w:tc>
        <w:tc>
          <w:tcPr>
            <w:vAlign w:val="center"/>
          </w:tcPr>
          <w:p>
            <w:r>
              <w:t xml:space="preserve">Comments/Notable Observations</w:t>
            </w:r>
          </w:p>
        </w:tc>
      </w:tr>
      <w:tr>
        <w:tc>
          <w:tcPr>
            <w:vAlign w:val="center"/>
          </w:tcPr>
          <w:p>
            <w:r>
              <w:t xml:space="preserve">Attendance Increased</w:t>
            </w:r>
          </w:p>
        </w:tc>
        <w:tc>
          <w:tcPr>
            <w:vAlign w:val="center"/>
          </w:tcPr>
          <w:p>
            <w:r>
              <w:t xml:space="preserve">Although it increased, we are still not meeting the standard.</w:t>
            </w:r>
          </w:p>
        </w:tc>
      </w:tr>
      <w:tr>
        <w:tc>
          <w:tcPr>
            <w:vAlign w:val="center"/>
          </w:tcPr>
          <w:p>
            <w:r>
              <w:t xml:space="preserve">College and Career Increased</w:t>
            </w:r>
          </w:p>
        </w:tc>
        <w:tc>
          <w:tcPr>
            <w:vAlign w:val="center"/>
          </w:tcPr>
          <w:p/>
        </w:tc>
      </w:tr>
    </w:tbl>
    <w:p>
      <w:pPr>
        <w:pStyle w:val="Heading3"/>
      </w:pPr>
      <w:r>
        <w:t xml:space="preserve">Challenges</w:t>
      </w:r>
    </w:p>
    <w:tbl>
      <w:tblPr>
        <w:tblStyle w:val="TableGrid"/>
        <w:tblW w:w="5000" w:type="pct"/>
      </w:tblPr>
      <w:tblGrid>
        <w:gridCol/>
        <w:gridCol/>
      </w:tblGrid>
      <w:tr>
        <w:tc>
          <w:tcPr>
            <w:vAlign w:val="center"/>
          </w:tcPr>
          <w:p>
            <w:r>
              <w:t xml:space="preserve">Indicator</w:t>
            </w:r>
          </w:p>
        </w:tc>
        <w:tc>
          <w:tcPr>
            <w:vAlign w:val="center"/>
          </w:tcPr>
          <w:p>
            <w:r>
              <w:t xml:space="preserve">Comments/Notable Observations</w:t>
            </w:r>
          </w:p>
        </w:tc>
      </w:tr>
      <w:tr>
        <w:tc>
          <w:tcPr>
            <w:vAlign w:val="center"/>
          </w:tcPr>
          <w:p>
            <w:r>
              <w:t xml:space="preserve">PA Future Ready Index data for Gettysburg Montessori for the 24/25 school year shows a significant decline in student performance in both ELA and mathematics.</w:t>
            </w:r>
          </w:p>
        </w:tc>
        <w:tc>
          <w:tcPr>
            <w:vAlign w:val="center"/>
          </w:tcPr>
          <w:p>
            <w:r>
              <w:t xml:space="preserve">This decline is visible across the student groups available in the Index and appears more severe than the decline experienced during the COVID period.</w:t>
            </w:r>
          </w:p>
        </w:tc>
      </w:tr>
      <w:tr>
        <w:tc>
          <w:tcPr>
            <w:vAlign w:val="center"/>
          </w:tcPr>
          <w:p>
            <w:r>
              <w:t xml:space="preserve">In addition to lower achievement, annual growth indicators also dropped substantially.</w:t>
            </w:r>
          </w:p>
        </w:tc>
        <w:tc>
          <w:tcPr>
            <w:vAlign w:val="center"/>
          </w:tcPr>
          <w:p>
            <w:r>
              <w:t xml:space="preserve">This is notable because prior years often reflected stronger growth even when proficiency outcomes were below desired benchmarks.</w:t>
            </w:r>
          </w:p>
        </w:tc>
      </w:tr>
      <w:tr>
        <w:tc>
          <w:tcPr>
            <w:vAlign w:val="center"/>
          </w:tcPr>
          <w:p>
            <w:r>
              <w:t xml:space="preserve">The school’s smaller size and fluctuating enrollment patterns contribute to year-to-year variability in results. As a school of choice, Gettysburg Montessori experiences student mobility, including students enrolling after multiple school changes (*including cyber and homeschooling), and arriving significantly below grade level.</w:t>
            </w:r>
          </w:p>
        </w:tc>
        <w:tc>
          <w:tcPr>
            <w:vAlign w:val="center"/>
          </w:tcPr>
          <w:p>
            <w:r>
              <w:t xml:space="preserve">These contextual factors influence outcomes and must be considered alongside instructional and programmatic efforts.</w:t>
            </w:r>
          </w:p>
        </w:tc>
      </w:tr>
      <w:tr>
        <w:tc>
          <w:tcPr>
            <w:vAlign w:val="center"/>
          </w:tcPr>
          <w:p>
            <w:r>
              <w:t xml:space="preserve">The data review/staff discussion identified concerns about assessment readiness and student engagement. Students demonstrated reduced stamina, inconsistent test-
taking behaviors, and low academic buy-in. In some instances, students completed portions of assessments very quickly, suggesting disengagement and limited persistence.</w:t>
            </w:r>
          </w:p>
        </w:tc>
        <w:tc>
          <w:tcPr>
            <w:vAlign w:val="center"/>
          </w:tcPr>
          <w:p>
            <w:r>
              <w:t xml:space="preserve">The staff additionally clarified that CDT data should continue to
inform instruction and identify learning gaps, but should not be relied upon as a direct predictor of PSSA outcomes due to differences in question structure and limited predictive alignment.</w:t>
            </w:r>
          </w:p>
        </w:tc>
      </w:tr>
      <w:tr>
        <w:tc>
          <w:tcPr>
            <w:vAlign w:val="center"/>
          </w:tcPr>
          <w:p>
            <w:r>
              <w:t xml:space="preserve">We did not meet the standard, demonstrating growth or improvement in Mathematics.</w:t>
            </w:r>
          </w:p>
        </w:tc>
        <w:tc>
          <w:tcPr>
            <w:vAlign w:val="center"/>
          </w:tcPr>
          <w:p>
            <w:r>
              <w:t xml:space="preserve">We had a significant decrease compared to the year before.</w:t>
            </w:r>
          </w:p>
        </w:tc>
      </w:tr>
    </w:tbl>
    <w:p>
      <w:pPr>
        <w:pStyle w:val="Heading2"/>
      </w:pPr>
      <w:r>
        <w:t xml:space="preserve">Proficient or Advanced in Mathematics/Algebra</w:t>
      </w:r>
    </w:p>
    <w:p>
      <w:pPr>
        <w:pStyle w:val="Heading2"/>
      </w:pPr>
      <w:r>
        <w:t xml:space="preserve">Review of Grade Level(s) and Individual Student Group(s)</w:t>
      </w:r>
    </w:p>
    <w:p>
      <w:pPr>
        <w:pStyle w:val="Heading3"/>
      </w:pPr>
      <w:r>
        <w:t xml:space="preserve">Strengths</w:t>
      </w:r>
    </w:p>
    <w:tbl>
      <w:tblPr>
        <w:tblStyle w:val="TableGrid"/>
        <w:tblW w:w="5000" w:type="pct"/>
      </w:tblPr>
      <w:tblGrid>
        <w:gridCol/>
        <w:gridCol/>
      </w:tblGrid>
      <w:tr>
        <w:tc>
          <w:tcPr>
            <w:vAlign w:val="center"/>
          </w:tcPr>
          <w:p>
            <w:r>
              <w:rPr>
                <w:b/>
              </w:rPr>
              <w:t xml:space="preserve">Indicator</w:t>
            </w:r>
          </w:p>
          <w:p>
            <w:r>
              <w:t xml:space="preserve">Improved attendance and improved readiness indicators for all students.</w:t>
            </w:r>
          </w:p>
          <w:p>
            <w:r>
              <w:rPr>
                <w:b/>
              </w:rPr>
              <w:t xml:space="preserve">ESSA Student Subgroups</w:t>
            </w:r>
          </w:p>
          <w:p>
            <w:r>
              <w:t xml:space="preserve">African-American/Black, American Indian or Alaskan Native, Asian (not Hispanic), Combined Ethnicity, Hawaiian Native/Pacific Islander, Hispanic, Multi-Racial (not Hispanic), White, Economically Disadvantaged, English Learners, Students with Disabilities</w:t>
            </w:r>
          </w:p>
        </w:tc>
        <w:tc>
          <w:tcPr>
            <w:vAlign w:val="center"/>
          </w:tcPr>
          <w:p>
            <w:r>
              <w:rPr>
                <w:b/>
              </w:rPr>
              <w:t xml:space="preserve">Comments/Notable Observations</w:t>
            </w:r>
          </w:p>
        </w:tc>
      </w:tr>
      <w:tr>
        <w:tc>
          <w:tcPr>
            <w:vAlign w:val="center"/>
          </w:tcPr>
          <w:p>
            <w:r>
              <w:rPr>
                <w:b/>
              </w:rPr>
              <w:t xml:space="preserve">Indicator</w:t>
            </w:r>
          </w:p>
          <w:p>
            <w:r>
              <w:t xml:space="preserve">Increased math instructional time and improved instructional schedules.</w:t>
            </w:r>
          </w:p>
          <w:p>
            <w:r>
              <w:rPr>
                <w:b/>
              </w:rPr>
              <w:t xml:space="preserve">ESSA Student Subgroups</w:t>
            </w:r>
          </w:p>
          <w:p>
            <w:r>
              <w:t xml:space="preserve">African-American/Black, American Indian or Alaskan Native, Asian (not Hispanic), Combined Ethnicity, Hawaiian Native/Pacific Islander, Hispanic, Multi-Racial (not Hispanic), White, Economically Disadvantaged, English Learners, Students with Disabilities</w:t>
            </w:r>
          </w:p>
        </w:tc>
        <w:tc>
          <w:tcPr>
            <w:vAlign w:val="center"/>
          </w:tcPr>
          <w:p>
            <w:r>
              <w:rPr>
                <w:b/>
              </w:rPr>
              <w:t xml:space="preserve">Comments/Notable Observations</w:t>
            </w:r>
          </w:p>
        </w:tc>
      </w:tr>
      <w:tr>
        <w:tc>
          <w:tcPr>
            <w:vAlign w:val="center"/>
          </w:tcPr>
          <w:p>
            <w:r>
              <w:rPr>
                <w:b/>
              </w:rPr>
              <w:t xml:space="preserve">Indicator</w:t>
            </w:r>
          </w:p>
          <w:p>
            <w:r>
              <w:t xml:space="preserve">Continued curriculum refinement and early literacy foundations.</w:t>
            </w:r>
          </w:p>
          <w:p>
            <w:r>
              <w:rPr>
                <w:b/>
              </w:rPr>
              <w:t xml:space="preserve">ESSA Student Subgroups</w:t>
            </w:r>
          </w:p>
          <w:p>
            <w:r>
              <w:t xml:space="preserve">African-American/Black, American Indian or Alaskan Native, Asian (not Hispanic), Combined Ethnicity, Hawaiian Native/Pacific Islander, Hispanic, Multi-Racial (not Hispanic), White, Economically Disadvantaged, English Learners, Students with Disabilities</w:t>
            </w:r>
          </w:p>
        </w:tc>
        <w:tc>
          <w:tcPr>
            <w:vAlign w:val="center"/>
          </w:tcPr>
          <w:p>
            <w:r>
              <w:rPr>
                <w:b/>
              </w:rPr>
              <w:t xml:space="preserve">Comments/Notable Observations</w:t>
            </w:r>
          </w:p>
        </w:tc>
      </w:tr>
      <w:tr>
        <w:tc>
          <w:tcPr>
            <w:vAlign w:val="center"/>
          </w:tcPr>
          <w:p>
            <w:r>
              <w:rPr>
                <w:b/>
              </w:rPr>
              <w:t xml:space="preserve">Indicator</w:t>
            </w:r>
          </w:p>
          <w:p>
            <w:r>
              <w:t xml:space="preserve">Benefits from schoolwide improvements in scheduling, curriculum
alignment, and early literacy supports.</w:t>
            </w:r>
          </w:p>
          <w:p>
            <w:r>
              <w:rPr>
                <w:b/>
              </w:rPr>
              <w:t xml:space="preserve">ESSA Student Subgroups</w:t>
            </w:r>
          </w:p>
          <w:p>
            <w:r>
              <w:t xml:space="preserve">White</w:t>
            </w:r>
          </w:p>
        </w:tc>
        <w:tc>
          <w:tcPr>
            <w:vAlign w:val="center"/>
          </w:tcPr>
          <w:p>
            <w:r>
              <w:rPr>
                <w:b/>
              </w:rPr>
              <w:t xml:space="preserve">Comments/Notable Observations</w:t>
            </w:r>
          </w:p>
        </w:tc>
      </w:tr>
      <w:tr>
        <w:tc>
          <w:tcPr>
            <w:vAlign w:val="center"/>
          </w:tcPr>
          <w:p>
            <w:r>
              <w:rPr>
                <w:b/>
              </w:rPr>
              <w:t xml:space="preserve">Indicator</w:t>
            </w:r>
          </w:p>
          <w:p>
            <w:r>
              <w:t xml:space="preserve">Title supports, interventions, and access supports strengthen readiness and support stability.</w:t>
            </w:r>
          </w:p>
          <w:p>
            <w:r>
              <w:rPr>
                <w:b/>
              </w:rPr>
              <w:t xml:space="preserve">ESSA Student Subgroups</w:t>
            </w:r>
          </w:p>
          <w:p>
            <w:r>
              <w:t xml:space="preserve">Economically Disadvantaged</w:t>
            </w:r>
          </w:p>
        </w:tc>
        <w:tc>
          <w:tcPr>
            <w:vAlign w:val="center"/>
          </w:tcPr>
          <w:p>
            <w:r>
              <w:rPr>
                <w:b/>
              </w:rPr>
              <w:t xml:space="preserve">Comments/Notable Observations</w:t>
            </w:r>
          </w:p>
        </w:tc>
      </w:tr>
      <w:tr>
        <w:tc>
          <w:tcPr>
            <w:vAlign w:val="center"/>
          </w:tcPr>
          <w:p>
            <w:r>
              <w:rPr>
                <w:b/>
              </w:rPr>
              <w:t xml:space="preserve">Indicator</w:t>
            </w:r>
          </w:p>
          <w:p>
            <w:r>
              <w:t xml:space="preserve">Existing systems provide meaningful equity supports to reduce barriers to learning.</w:t>
            </w:r>
          </w:p>
          <w:p>
            <w:r>
              <w:rPr>
                <w:b/>
              </w:rPr>
              <w:t xml:space="preserve">ESSA Student Subgroups</w:t>
            </w:r>
          </w:p>
          <w:p>
            <w:r>
              <w:t xml:space="preserve">Economically Disadvantaged</w:t>
            </w:r>
          </w:p>
        </w:tc>
        <w:tc>
          <w:tcPr>
            <w:vAlign w:val="center"/>
          </w:tcPr>
          <w:p>
            <w:r>
              <w:rPr>
                <w:b/>
              </w:rPr>
              <w:t xml:space="preserve">Comments/Notable Observations</w:t>
            </w:r>
          </w:p>
        </w:tc>
      </w:tr>
      <w:tr>
        <w:tc>
          <w:tcPr>
            <w:vAlign w:val="center"/>
          </w:tcPr>
          <w:p>
            <w:r>
              <w:rPr>
                <w:b/>
              </w:rPr>
              <w:t xml:space="preserve">Indicator</w:t>
            </w:r>
          </w:p>
          <w:p>
            <w:r>
              <w:t xml:space="preserve">Individualized and small-group supports may promote growth and progress monitoring for learners.</w:t>
            </w:r>
          </w:p>
          <w:p>
            <w:r>
              <w:rPr>
                <w:b/>
              </w:rPr>
              <w:t xml:space="preserve">ESSA Student Subgroups</w:t>
            </w:r>
          </w:p>
          <w:p>
            <w:r>
              <w:t xml:space="preserve">Students with Disabilities</w:t>
            </w:r>
          </w:p>
        </w:tc>
        <w:tc>
          <w:tcPr>
            <w:vAlign w:val="center"/>
          </w:tcPr>
          <w:p>
            <w:r>
              <w:rPr>
                <w:b/>
              </w:rPr>
              <w:t xml:space="preserve">Comments/Notable Observations</w:t>
            </w:r>
          </w:p>
        </w:tc>
      </w:tr>
      <w:tr>
        <w:tc>
          <w:tcPr>
            <w:vAlign w:val="center"/>
          </w:tcPr>
          <w:p>
            <w:r>
              <w:rPr>
                <w:b/>
              </w:rPr>
              <w:t xml:space="preserve">Indicator</w:t>
            </w:r>
          </w:p>
          <w:p>
            <w:r>
              <w:t xml:space="preserve">Targeted supports increase access to instruction and skill-building.</w:t>
            </w:r>
          </w:p>
          <w:p>
            <w:r>
              <w:rPr>
                <w:b/>
              </w:rPr>
              <w:t xml:space="preserve">ESSA Student Subgroups</w:t>
            </w:r>
          </w:p>
          <w:p>
            <w:r>
              <w:t xml:space="preserve">Students with Disabilities</w:t>
            </w:r>
          </w:p>
        </w:tc>
        <w:tc>
          <w:tcPr>
            <w:vAlign w:val="center"/>
          </w:tcPr>
          <w:p>
            <w:r>
              <w:rPr>
                <w:b/>
              </w:rPr>
              <w:t xml:space="preserve">Comments/Notable Observations</w:t>
            </w:r>
          </w:p>
        </w:tc>
      </w:tr>
      <w:tr>
        <w:tc>
          <w:tcPr>
            <w:vAlign w:val="center"/>
          </w:tcPr>
          <w:p>
            <w:r>
              <w:rPr>
                <w:b/>
              </w:rPr>
              <w:t xml:space="preserve">Indicator</w:t>
            </w:r>
          </w:p>
          <w:p>
            <w:r>
              <w:t xml:space="preserve">High Mobility / New Enrollees (local subgroup)
School culture and staff relationships support belonging and safety</w:t>
            </w:r>
          </w:p>
          <w:p>
            <w:r>
              <w:rPr>
                <w:b/>
              </w:rPr>
              <w:t xml:space="preserve">ESSA Student Subgroups</w:t>
            </w:r>
          </w:p>
        </w:tc>
        <w:tc>
          <w:tcPr>
            <w:vAlign w:val="center"/>
          </w:tcPr>
          <w:p>
            <w:r>
              <w:rPr>
                <w:b/>
              </w:rPr>
              <w:t xml:space="preserve">Comments/Notable Observations</w:t>
            </w:r>
          </w:p>
        </w:tc>
      </w:tr>
      <w:tr>
        <w:tc>
          <w:tcPr>
            <w:vAlign w:val="center"/>
          </w:tcPr>
          <w:p>
            <w:r>
              <w:rPr>
                <w:b/>
              </w:rPr>
              <w:t xml:space="preserve">Indicator</w:t>
            </w:r>
          </w:p>
          <w:p>
            <w:r>
              <w:t xml:space="preserve">High Mobility / New Enrollees (local subgroup)
The school is viewed by families/community as a supportive option for students needing a fresh start.</w:t>
            </w:r>
          </w:p>
          <w:p>
            <w:r>
              <w:rPr>
                <w:b/>
              </w:rPr>
              <w:t xml:space="preserve">ESSA Student Subgroups</w:t>
            </w:r>
          </w:p>
        </w:tc>
        <w:tc>
          <w:tcPr>
            <w:vAlign w:val="center"/>
          </w:tcPr>
          <w:p>
            <w:r>
              <w:rPr>
                <w:b/>
              </w:rPr>
              <w:t xml:space="preserve">Comments/Notable Observations</w:t>
            </w:r>
          </w:p>
        </w:tc>
      </w:tr>
    </w:tbl>
    <w:p>
      <w:pPr>
        <w:pStyle w:val="Heading3"/>
      </w:pPr>
      <w:r>
        <w:t xml:space="preserve">Challenges</w:t>
      </w:r>
    </w:p>
    <w:tbl>
      <w:tblPr>
        <w:tblStyle w:val="TableGrid"/>
        <w:tblW w:w="5000" w:type="pct"/>
      </w:tblPr>
      <w:tblGrid>
        <w:gridCol/>
        <w:gridCol/>
      </w:tblGrid>
      <w:tr>
        <w:tc>
          <w:tcPr>
            <w:vAlign w:val="center"/>
          </w:tcPr>
          <w:p>
            <w:r>
              <w:rPr>
                <w:b/>
              </w:rPr>
              <w:t xml:space="preserve">Indicator</w:t>
            </w:r>
          </w:p>
          <w:p>
            <w:r>
              <w:t xml:space="preserve">Significant decline in ELA and math achievement and growth in 24/25.</w:t>
            </w:r>
          </w:p>
          <w:p>
            <w:r>
              <w:rPr>
                <w:b/>
              </w:rPr>
              <w:t xml:space="preserve">ESSA Student Subgroups</w:t>
            </w:r>
          </w:p>
          <w:p>
            <w:r>
              <w:t xml:space="preserve">African-American/Black, American Indian or Alaskan Native, Asian (not Hispanic), Combined Ethnicity, Hawaiian Native/Pacific Islander, Hispanic, Multi-Racial (not Hispanic), White, Economically Disadvantaged, English Learners, Students with Disabilities</w:t>
            </w:r>
          </w:p>
        </w:tc>
        <w:tc>
          <w:tcPr>
            <w:vAlign w:val="center"/>
          </w:tcPr>
          <w:p>
            <w:r>
              <w:rPr>
                <w:b/>
              </w:rPr>
              <w:t xml:space="preserve">Comments/Notable Observations</w:t>
            </w:r>
          </w:p>
        </w:tc>
      </w:tr>
      <w:tr>
        <w:tc>
          <w:tcPr>
            <w:vAlign w:val="center"/>
          </w:tcPr>
          <w:p>
            <w:r>
              <w:rPr>
                <w:b/>
              </w:rPr>
              <w:t xml:space="preserve">Indicator</w:t>
            </w:r>
          </w:p>
          <w:p>
            <w:r>
              <w:t xml:space="preserve">Reduced stamina and persistence, impacting assessment performance.</w:t>
            </w:r>
          </w:p>
          <w:p>
            <w:r>
              <w:rPr>
                <w:b/>
              </w:rPr>
              <w:t xml:space="preserve">ESSA Student Subgroups</w:t>
            </w:r>
          </w:p>
          <w:p>
            <w:r>
              <w:t xml:space="preserve">African-American/Black, American Indian or Alaskan Native, Asian (not Hispanic), Combined Ethnicity, Hawaiian Native/Pacific Islander, Hispanic, Multi-Racial (not Hispanic), White, Economically Disadvantaged, English Learners, Students with Disabilities</w:t>
            </w:r>
          </w:p>
        </w:tc>
        <w:tc>
          <w:tcPr>
            <w:vAlign w:val="center"/>
          </w:tcPr>
          <w:p>
            <w:r>
              <w:rPr>
                <w:b/>
              </w:rPr>
              <w:t xml:space="preserve">Comments/Notable Observations</w:t>
            </w:r>
          </w:p>
        </w:tc>
      </w:tr>
      <w:tr>
        <w:tc>
          <w:tcPr>
            <w:vAlign w:val="center"/>
          </w:tcPr>
          <w:p>
            <w:r>
              <w:rPr>
                <w:b/>
              </w:rPr>
              <w:t xml:space="preserve">Indicator</w:t>
            </w:r>
          </w:p>
          <w:p>
            <w:r>
              <w:t xml:space="preserve">Increased anxiety and reduced independence impacting engagement.</w:t>
            </w:r>
          </w:p>
          <w:p>
            <w:r>
              <w:rPr>
                <w:b/>
              </w:rPr>
              <w:t xml:space="preserve">ESSA Student Subgroups</w:t>
            </w:r>
          </w:p>
          <w:p>
            <w:r>
              <w:t xml:space="preserve">African-American/Black, American Indian or Alaskan Native, Asian (not Hispanic), Combined Ethnicity, Hawaiian Native/Pacific Islander, Hispanic, Multi-Racial (not Hispanic), White, Economically Disadvantaged, English Learners, Students with Disabilities</w:t>
            </w:r>
          </w:p>
        </w:tc>
        <w:tc>
          <w:tcPr>
            <w:vAlign w:val="center"/>
          </w:tcPr>
          <w:p>
            <w:r>
              <w:rPr>
                <w:b/>
              </w:rPr>
              <w:t xml:space="preserve">Comments/Notable Observations</w:t>
            </w:r>
          </w:p>
        </w:tc>
      </w:tr>
      <w:tr>
        <w:tc>
          <w:tcPr>
            <w:vAlign w:val="center"/>
          </w:tcPr>
          <w:p>
            <w:r>
              <w:rPr>
                <w:b/>
              </w:rPr>
              <w:t xml:space="preserve">Indicator</w:t>
            </w:r>
          </w:p>
          <w:p>
            <w:r>
              <w:t xml:space="preserve">Declines in achievement and growth mirror overall patterns.</w:t>
            </w:r>
          </w:p>
          <w:p>
            <w:r>
              <w:rPr>
                <w:b/>
              </w:rPr>
              <w:t xml:space="preserve">ESSA Student Subgroups</w:t>
            </w:r>
          </w:p>
          <w:p>
            <w:r>
              <w:t xml:space="preserve">White</w:t>
            </w:r>
          </w:p>
        </w:tc>
        <w:tc>
          <w:tcPr>
            <w:vAlign w:val="center"/>
          </w:tcPr>
          <w:p>
            <w:r>
              <w:rPr>
                <w:b/>
              </w:rPr>
              <w:t xml:space="preserve">Comments/Notable Observations</w:t>
            </w:r>
          </w:p>
        </w:tc>
      </w:tr>
      <w:tr>
        <w:tc>
          <w:tcPr>
            <w:vAlign w:val="center"/>
          </w:tcPr>
          <w:p>
            <w:r>
              <w:rPr>
                <w:b/>
              </w:rPr>
              <w:t xml:space="preserve">Indicator</w:t>
            </w:r>
          </w:p>
          <w:p>
            <w:r>
              <w:t xml:space="preserve">Small cohort sizes contribute to volatility and year-to-year swings.</w:t>
            </w:r>
          </w:p>
          <w:p>
            <w:r>
              <w:rPr>
                <w:b/>
              </w:rPr>
              <w:t xml:space="preserve">ESSA Student Subgroups</w:t>
            </w:r>
          </w:p>
          <w:p>
            <w:r>
              <w:t xml:space="preserve">White</w:t>
            </w:r>
          </w:p>
        </w:tc>
        <w:tc>
          <w:tcPr>
            <w:vAlign w:val="center"/>
          </w:tcPr>
          <w:p>
            <w:r>
              <w:rPr>
                <w:b/>
              </w:rPr>
              <w:t xml:space="preserve">Comments/Notable Observations</w:t>
            </w:r>
          </w:p>
        </w:tc>
      </w:tr>
      <w:tr>
        <w:tc>
          <w:tcPr>
            <w:vAlign w:val="center"/>
          </w:tcPr>
          <w:p>
            <w:r>
              <w:rPr>
                <w:b/>
              </w:rPr>
              <w:t xml:space="preserve">Indicator</w:t>
            </w:r>
          </w:p>
          <w:p>
            <w:r>
              <w:t xml:space="preserve">Outcomes remain below the desired ELA and math targets.</w:t>
            </w:r>
          </w:p>
          <w:p>
            <w:r>
              <w:rPr>
                <w:b/>
              </w:rPr>
              <w:t xml:space="preserve">ESSA Student Subgroups</w:t>
            </w:r>
          </w:p>
          <w:p>
            <w:r>
              <w:t xml:space="preserve">Economically Disadvantaged</w:t>
            </w:r>
          </w:p>
        </w:tc>
        <w:tc>
          <w:tcPr>
            <w:vAlign w:val="center"/>
          </w:tcPr>
          <w:p>
            <w:r>
              <w:rPr>
                <w:b/>
              </w:rPr>
              <w:t xml:space="preserve">Comments/Notable Observations</w:t>
            </w:r>
          </w:p>
        </w:tc>
      </w:tr>
      <w:tr>
        <w:tc>
          <w:tcPr>
            <w:vAlign w:val="center"/>
          </w:tcPr>
          <w:p>
            <w:r>
              <w:rPr>
                <w:b/>
              </w:rPr>
              <w:t xml:space="preserve">Indicator</w:t>
            </w:r>
          </w:p>
          <w:p>
            <w:r>
              <w:t xml:space="preserve">Attendance and variability in home learning support impact instructional continuity.</w:t>
            </w:r>
          </w:p>
          <w:p>
            <w:r>
              <w:rPr>
                <w:b/>
              </w:rPr>
              <w:t xml:space="preserve">ESSA Student Subgroups</w:t>
            </w:r>
          </w:p>
          <w:p>
            <w:r>
              <w:t xml:space="preserve">Economically Disadvantaged</w:t>
            </w:r>
          </w:p>
        </w:tc>
        <w:tc>
          <w:tcPr>
            <w:vAlign w:val="center"/>
          </w:tcPr>
          <w:p>
            <w:r>
              <w:rPr>
                <w:b/>
              </w:rPr>
              <w:t xml:space="preserve">Comments/Notable Observations</w:t>
            </w:r>
          </w:p>
        </w:tc>
      </w:tr>
      <w:tr>
        <w:tc>
          <w:tcPr>
            <w:vAlign w:val="center"/>
          </w:tcPr>
          <w:p>
            <w:r>
              <w:rPr>
                <w:b/>
              </w:rPr>
              <w:t xml:space="preserve">Indicator</w:t>
            </w:r>
          </w:p>
          <w:p>
            <w:r>
              <w:t xml:space="preserve">Stamina, anxiety, and motivation challenges may be intensified.</w:t>
            </w:r>
          </w:p>
          <w:p>
            <w:r>
              <w:rPr>
                <w:b/>
              </w:rPr>
              <w:t xml:space="preserve">ESSA Student Subgroups</w:t>
            </w:r>
          </w:p>
          <w:p>
            <w:r>
              <w:t xml:space="preserve">Students with Disabilities</w:t>
            </w:r>
          </w:p>
        </w:tc>
        <w:tc>
          <w:tcPr>
            <w:vAlign w:val="center"/>
          </w:tcPr>
          <w:p>
            <w:r>
              <w:rPr>
                <w:b/>
              </w:rPr>
              <w:t xml:space="preserve">Comments/Notable Observations</w:t>
            </w:r>
          </w:p>
        </w:tc>
      </w:tr>
      <w:tr>
        <w:tc>
          <w:tcPr>
            <w:vAlign w:val="center"/>
          </w:tcPr>
          <w:p>
            <w:r>
              <w:rPr>
                <w:b/>
              </w:rPr>
              <w:t xml:space="preserve">Indicator</w:t>
            </w:r>
          </w:p>
          <w:p>
            <w:r>
              <w:t xml:space="preserve">Grade-level assessment expectations may not align to instructional levels for some students.</w:t>
            </w:r>
          </w:p>
          <w:p>
            <w:r>
              <w:rPr>
                <w:b/>
              </w:rPr>
              <w:t xml:space="preserve">ESSA Student Subgroups</w:t>
            </w:r>
          </w:p>
          <w:p>
            <w:r>
              <w:t xml:space="preserve">Students with Disabilities</w:t>
            </w:r>
          </w:p>
        </w:tc>
        <w:tc>
          <w:tcPr>
            <w:vAlign w:val="center"/>
          </w:tcPr>
          <w:p>
            <w:r>
              <w:rPr>
                <w:b/>
              </w:rPr>
              <w:t xml:space="preserve">Comments/Notable Observations</w:t>
            </w:r>
          </w:p>
        </w:tc>
      </w:tr>
      <w:tr>
        <w:tc>
          <w:tcPr>
            <w:vAlign w:val="center"/>
          </w:tcPr>
          <w:p>
            <w:r>
              <w:rPr>
                <w:b/>
              </w:rPr>
              <w:t xml:space="preserve">Indicator</w:t>
            </w:r>
          </w:p>
          <w:p>
            <w:r>
              <w:t xml:space="preserve">Need for continued alignment among accommodations and instructional supports</w:t>
            </w:r>
          </w:p>
          <w:p>
            <w:r>
              <w:rPr>
                <w:b/>
              </w:rPr>
              <w:t xml:space="preserve">ESSA Student Subgroups</w:t>
            </w:r>
          </w:p>
          <w:p>
            <w:r>
              <w:t xml:space="preserve">Students with Disabilities</w:t>
            </w:r>
          </w:p>
        </w:tc>
        <w:tc>
          <w:tcPr>
            <w:vAlign w:val="center"/>
          </w:tcPr>
          <w:p>
            <w:r>
              <w:rPr>
                <w:b/>
              </w:rPr>
              <w:t xml:space="preserve">Comments/Notable Observations</w:t>
            </w:r>
          </w:p>
        </w:tc>
      </w:tr>
      <w:tr>
        <w:tc>
          <w:tcPr>
            <w:vAlign w:val="center"/>
          </w:tcPr>
          <w:p>
            <w:r>
              <w:rPr>
                <w:b/>
              </w:rPr>
              <w:t xml:space="preserve">Indicator</w:t>
            </w:r>
          </w:p>
          <w:p>
            <w:r>
              <w:t xml:space="preserve">High Mobility / New Enrollees (local subgroup)
Students often enter with significant skill gaps or prior learning disruptions.</w:t>
            </w:r>
          </w:p>
          <w:p>
            <w:r>
              <w:rPr>
                <w:b/>
              </w:rPr>
              <w:t xml:space="preserve">ESSA Student Subgroups</w:t>
            </w:r>
          </w:p>
        </w:tc>
        <w:tc>
          <w:tcPr>
            <w:vAlign w:val="center"/>
          </w:tcPr>
          <w:p>
            <w:r>
              <w:rPr>
                <w:b/>
              </w:rPr>
              <w:t xml:space="preserve">Comments/Notable Observations</w:t>
            </w:r>
          </w:p>
        </w:tc>
      </w:tr>
      <w:tr>
        <w:tc>
          <w:tcPr>
            <w:vAlign w:val="center"/>
          </w:tcPr>
          <w:p>
            <w:r>
              <w:rPr>
                <w:b/>
              </w:rPr>
              <w:t xml:space="preserve">Indicator</w:t>
            </w:r>
          </w:p>
          <w:p>
            <w:r>
              <w:t xml:space="preserve">High Mobility / New Enrollees (local subgroup)
Transitions reduce continuity and affect readiness for grade-level
expectations.</w:t>
            </w:r>
          </w:p>
          <w:p>
            <w:r>
              <w:rPr>
                <w:b/>
              </w:rPr>
              <w:t xml:space="preserve">ESSA Student Subgroups</w:t>
            </w:r>
          </w:p>
        </w:tc>
        <w:tc>
          <w:tcPr>
            <w:vAlign w:val="center"/>
          </w:tcPr>
          <w:p>
            <w:r>
              <w:rPr>
                <w:b/>
              </w:rPr>
              <w:t xml:space="preserve">Comments/Notable Observations</w:t>
            </w:r>
          </w:p>
        </w:tc>
      </w:tr>
    </w:tbl>
    <w:p>
      <w:pPr>
        <w:pStyle w:val="Heading2"/>
      </w:pPr>
      <w:r>
        <w:t xml:space="preserve">Meeting Annual Academic Growth Expectations (PVAAS) in English Language Arts/Literature</w:t>
      </w:r>
    </w:p>
    <w:p>
      <w:pPr>
        <w:pStyle w:val="Heading2"/>
      </w:pPr>
      <w:r>
        <w:t xml:space="preserve">Meeting Annual Academic Growth Expectations (PVAAS) in Mathematics/Algebra</w:t>
      </w:r>
    </w:p>
    <w:p>
      <w:pPr>
        <w:pStyle w:val="Heading2"/>
      </w:pPr>
      <w:r>
        <w:t xml:space="preserve">English Language Growth and Attainment </w:t>
      </w:r>
    </w:p>
    <w:p>
      <w:pPr>
        <w:pStyle w:val="Heading2"/>
      </w:pPr>
      <w:r>
        <w:t xml:space="preserve">Regular Attendance </w:t>
      </w:r>
    </w:p>
    <w:p>
      <w:pPr>
        <w:pStyle w:val="Heading2"/>
      </w:pPr>
      <w:r>
        <w:t xml:space="preserve">Career Standards Benchmark </w:t>
      </w:r>
    </w:p>
    <w:p>
      <w:pPr>
        <w:pStyle w:val="Heading2"/>
      </w:pPr>
      <w:r>
        <w:t xml:space="preserve">High School Graduation Rate Four-Year Cohort</w:t>
      </w:r>
    </w:p>
    <w:p>
      <w:pPr>
        <w:pStyle w:val="Heading2"/>
      </w:pPr>
      <w:r>
        <w:t xml:space="preserve">Summary</w:t>
      </w:r>
    </w:p>
    <w:p>
      <w:pPr>
        <w:pStyle w:val="Heading3"/>
      </w:pPr>
      <w:r>
        <w:t xml:space="preserve">Strengths</w:t>
      </w:r>
    </w:p>
    <w:p>
      <w:r>
        <w:t xml:space="preserve">Review the strengths listed. Adjust the list to include 2-5 strengths that have had the most significant impact in addressing your most pressing challenges.</w:t>
      </w:r>
    </w:p>
    <w:tbl>
      <w:tblPr>
        <w:tblStyle w:val="TableGrid"/>
        <w:tblW w:w="5000" w:type="pct"/>
      </w:tblPr>
      <w:tblGrid>
        <w:gridCol/>
      </w:tblGrid>
      <w:tr>
        <w:tc>
          <w:tcPr>
            <w:vAlign w:val="center"/>
          </w:tcPr>
          <w:p>
            <w:r>
              <w:t xml:space="preserve">Increased instructional time and improved scheduling structures for core academics. 
The school increased instructional time for mathematics and improved scheduling structures to provide more consistent grade-level instruction. This creates greater opportunity for targeted skill development, more frequent practice, and more effective intervention supports, especially for students with foundational skill gaps.</w:t>
            </w:r>
          </w:p>
        </w:tc>
      </w:tr>
      <w:tr>
        <w:tc>
          <w:tcPr>
            <w:vAlign w:val="center"/>
          </w:tcPr>
          <w:p>
            <w:r>
              <w:t xml:space="preserve">Curriculum development, alignment, and continued refinement across subject areas
Gettysburg Montessori has developed written curriculum across core subject areas and continues to refine and improve curriculum annually. The ongoing curriculum work supports instructional consistency and alignment to state standards. Curriculum work for the subject “writing” is planned for the
summer as part of continuing curriculum development and refinement.</w:t>
            </w:r>
          </w:p>
        </w:tc>
      </w:tr>
      <w:tr>
        <w:tc>
          <w:tcPr>
            <w:vAlign w:val="center"/>
          </w:tcPr>
          <w:p>
            <w:r>
              <w:t xml:space="preserve">Strong foundational literacy and writing supports in K–3 
The school has implemented strong early literacy supports and structured
writing routines that strengthen foundational skills and increase student willingness to attempt literacy tasks. These efforts build long-term readiness for grade-level expectations and contribute to improved future performance in ELA achievement and growth indicators.</w:t>
            </w:r>
          </w:p>
        </w:tc>
      </w:tr>
      <w:tr>
        <w:tc>
          <w:tcPr>
            <w:vAlign w:val="center"/>
          </w:tcPr>
          <w:p>
            <w:r>
              <w:t xml:space="preserve">Targeted support systems benefiting economically disadvantaged students
The school maintains Title supports and intervention structures that provide additional academic services and access supports (including supports such as breakfast and learning resources). Economically disadvantaged student performance has demonstrated  relative strength in some historical Index
trends, indicating that these supports may serve as a strong leverage point for
future improvement and equity-focused growth.</w:t>
            </w:r>
          </w:p>
        </w:tc>
      </w:tr>
      <w:tr>
        <w:tc>
          <w:tcPr>
            <w:vAlign w:val="center"/>
          </w:tcPr>
          <w:p>
            <w:r>
              <w:t xml:space="preserve">Strengthened staffing and instructional capacity
Staffing improvements and strengthened instructional capacity in early grades have contributed to stronger classroom routines and foundational readiness. Early grade improvement reduces later remediation needs, strengthens skill development over time, and supports sustained improvement in achievement and growth.</w:t>
            </w:r>
          </w:p>
        </w:tc>
      </w:tr>
    </w:tbl>
    <w:p>
      <w:pPr>
        <w:pStyle w:val="Heading3"/>
      </w:pPr>
      <w:r>
        <w:t xml:space="preserve">Challenges</w:t>
      </w:r>
    </w:p>
    <w:p>
      <w:r>
        <w:t xml:space="preserve">Review the challenges listed. Adjust the list to include 2-5 challenges that, if improved, would have the most impact in achieving your Future Ready PA index targets.</w:t>
      </w:r>
    </w:p>
    <w:tbl>
      <w:tblPr>
        <w:tblStyle w:val="TableGrid"/>
        <w:tblW w:w="5000" w:type="pct"/>
      </w:tblPr>
      <w:tblGrid>
        <w:gridCol/>
      </w:tblGrid>
      <w:tr>
        <w:tc>
          <w:tcPr>
            <w:vAlign w:val="center"/>
          </w:tcPr>
          <w:p>
            <w:r>
              <w:t xml:space="preserve">Student stamina, persistence, and effective test-taking behaviors. 
Students demonstrate reduced stamina for sustained reading, writing, and multi-step (written) problem solving. Students often struggle to persist through academic tasks requiring evidence-based responses or extended attention. Some students rush through assessments or disengage, which negatively impacts proficiency and growth outcomes.</w:t>
            </w:r>
          </w:p>
        </w:tc>
      </w:tr>
      <w:tr>
        <w:tc>
          <w:tcPr>
            <w:vAlign w:val="center"/>
          </w:tcPr>
          <w:p>
            <w:r>
              <w:t xml:space="preserve">Motivation, academic buy-in, and student ownership of learning.
Many students do not view academic performance and state assessments as meaningful, contributing to inconsistent effort, refusal behaviors, and low engagement. Increased goal-setting routines, student conferences, progress monitoring transparency, and consistent reinforcement of academic purpose are needed to build ownership and improve performance.</w:t>
            </w:r>
          </w:p>
        </w:tc>
      </w:tr>
      <w:tr>
        <w:tc>
          <w:tcPr>
            <w:vAlign w:val="center"/>
          </w:tcPr>
          <w:p>
            <w:r>
              <w:t xml:space="preserve">Anxiety, perfectionism, and confidence impacting academic performance.
Staff observations indicate increased anxiety, fear of being wrong, and perfectionism, which can result in shutdown behaviors and reluctance to attempt challenging tasks. These factors negatively impact persistence, confidence, and assessment readiness.</w:t>
            </w:r>
          </w:p>
        </w:tc>
      </w:tr>
      <w:tr>
        <w:tc>
          <w:tcPr>
            <w:vAlign w:val="center"/>
          </w:tcPr>
          <w:p>
            <w:r>
              <w:t xml:space="preserve">Inconsistent assessment preparation practices and limited process-based instruction.
Some assessment preparation practices in 24/25 prioritized answers and completion rather than developing stamina, strategies, and the cognitive processes required for success. Strengthening consistent process-based instruction, teaching test-taking skills, and evidence-based responding is necessary for improved performance and student independence.</w:t>
            </w:r>
          </w:p>
        </w:tc>
      </w:tr>
      <w:tr>
        <w:tc>
          <w:tcPr>
            <w:vAlign w:val="center"/>
          </w:tcPr>
          <w:p>
            <w:r>
              <w:t xml:space="preserve">Student mobility and transitions impacting readiness and continuity.
High student mobility, including students enrolling after disruptions or entering significantly below grade level, creates challenges for maintaining consistent readiness and pacing. Systems for rapid diagnostic screening, onboarding supports and accelerated foundational skill interventions are needed to reduce the impact of mobility on achievement and growth outcomes.</w:t>
            </w:r>
          </w:p>
        </w:tc>
      </w:tr>
    </w:tbl>
    <w:p>
      <w:r>
        <w:br/>
      </w:r>
      <w:r>
        <w:br/>
      </w:r>
      <w:r>
        <w:br/>
      </w:r>
      <w:r>
        <w:br/>
      </w:r>
      <w:r>
        <w:br/>
      </w:r>
      <w:r>
        <w:br/>
      </w:r>
      <w:r>
        <w:br w:type="page"/>
      </w:r>
      <w:r>
        <w:lastRenderedPageBreak/>
      </w:r>
    </w:p>
    <w:p>
      <w:pPr>
        <w:pStyle w:val="Heading1"/>
      </w:pPr>
      <w:r>
        <w:t xml:space="preserve">Local Assessment</w:t>
      </w:r>
    </w:p>
    <w:p>
      <w:pPr>
        <w:pStyle w:val="Heading2"/>
      </w:pPr>
      <w:r>
        <w:t xml:space="preserve">English Language Arts</w:t>
      </w:r>
    </w:p>
    <w:tbl>
      <w:tblPr>
        <w:tblStyle w:val="TableGrid"/>
        <w:tblW w:w="5000" w:type="pct"/>
      </w:tblPr>
      <w:tblGrid>
        <w:gridCol/>
        <w:gridCol/>
      </w:tblGrid>
      <w:tr>
        <w:tc>
          <w:tcPr>
            <w:vAlign w:val="center"/>
          </w:tcPr>
          <w:p>
            <w:r>
              <w:rPr>
                <w:b/>
              </w:rPr>
              <w:t xml:space="preserve">Data</w:t>
            </w:r>
          </w:p>
        </w:tc>
        <w:tc>
          <w:tcPr>
            <w:vAlign w:val="center"/>
          </w:tcPr>
          <w:p>
            <w:r>
              <w:rPr>
                <w:b/>
              </w:rPr>
              <w:t xml:space="preserve">Comments/Notable Observations</w:t>
            </w:r>
          </w:p>
        </w:tc>
      </w:tr>
      <w:tr>
        <w:tc>
          <w:tcPr>
            <w:vAlign w:val="center"/>
          </w:tcPr>
          <w:p>
            <w:r>
              <w:t xml:space="preserve">CDTs</w:t>
            </w:r>
          </w:p>
        </w:tc>
        <w:tc>
          <w:tcPr>
            <w:vAlign w:val="center"/>
          </w:tcPr>
          <w:p>
            <w:r>
              <w:t xml:space="preserve">Grades 3-6 Many students fall into the “bubble” range, meaning their performance could shift either up or down.
Focus should be on enrichment and targeted support to help bubble students progress upward.
Enrichment opportunities are being provided during daily WIN time.
</w:t>
            </w:r>
          </w:p>
        </w:tc>
      </w:tr>
      <w:tr>
        <w:tc>
          <w:tcPr>
            <w:vAlign w:val="center"/>
          </w:tcPr>
          <w:p>
            <w:r>
              <w:t xml:space="preserve">Acadience</w:t>
            </w:r>
          </w:p>
        </w:tc>
        <w:tc>
          <w:tcPr>
            <w:vAlign w:val="center"/>
          </w:tcPr>
          <w:p>
            <w:r>
              <w:t xml:space="preserve">Grades K-6 The most notable observations are the consistency and retention of foundational phonological skills in K–1, which appear to build a strong base, leading to high levels of fluency and accuracy in upper grades (5–6), supported by a positive instructional emphasis on comprehension over speed.</w:t>
            </w:r>
          </w:p>
        </w:tc>
      </w:tr>
      <w:tr>
        <w:tc>
          <w:tcPr>
            <w:vAlign w:val="center"/>
          </w:tcPr>
          <w:p>
            <w:r>
              <w:t xml:space="preserve">PSSA - Future Ready PA</w:t>
            </w:r>
          </w:p>
        </w:tc>
        <w:tc>
          <w:tcPr>
            <w:vAlign w:val="center"/>
          </w:tcPr>
          <w:p>
            <w:r>
              <w:t xml:space="preserve">There is a significant correlation between the percentage of  economically disadvantaged students and the decrease in ELA performance on the PSSA's</w:t>
            </w:r>
          </w:p>
        </w:tc>
      </w:tr>
    </w:tbl>
    <w:p>
      <w:pPr>
        <w:pStyle w:val="Heading2"/>
      </w:pPr>
      <w:r>
        <w:t xml:space="preserve">English Language Arts Summary</w:t>
      </w:r>
    </w:p>
    <w:p>
      <w:pPr>
        <w:pStyle w:val="Heading3"/>
      </w:pPr>
      <w:r>
        <w:t xml:space="preserve">Strengths</w:t>
      </w:r>
    </w:p>
    <w:tbl>
      <w:tblPr>
        <w:tblStyle w:val="TableGrid"/>
        <w:tblW w:w="5000" w:type="pct"/>
      </w:tblPr>
      <w:tblGrid>
        <w:gridCol/>
      </w:tblGrid>
      <w:tr>
        <w:tc>
          <w:tcPr>
            <w:vAlign w:val="center"/>
          </w:tcPr>
          <w:p>
            <w:r>
              <w:t xml:space="preserve">Overall, strong CDT scores predict success across all grades.
</w:t>
            </w:r>
          </w:p>
        </w:tc>
      </w:tr>
      <w:tr>
        <w:tc>
          <w:tcPr>
            <w:vAlign w:val="center"/>
          </w:tcPr>
          <w:p>
            <w:r>
              <w:t xml:space="preserve">CDT beginning-of-year data indicate that English Language Arts (ELA) is an area of strength across grade levels.
CDT beginning-of-year data indicates that English Language Arts (ELA) and Science are areas of strength across grade levels.
CDT beginning-of-year data indicates that English Language Arts (ELA) and Science are areas of strength across grade levels.
</w:t>
            </w:r>
          </w:p>
        </w:tc>
      </w:tr>
      <w:tr>
        <w:tc>
          <w:tcPr>
            <w:vAlign w:val="center"/>
          </w:tcPr>
          <w:p>
            <w:r>
              <w:t xml:space="preserve">Acadience: Phoneme segmentation: Strong growth in kindergarten (middle and end) and beginning of first grade. Growth has been consistent from 2021–2025. Students generally retain this skill, except for the impact of move-ins.
 • Nonsense word fluency: Kindergarten shows strong retention.
</w:t>
            </w:r>
          </w:p>
        </w:tc>
      </w:tr>
      <w:tr>
        <w:tc>
          <w:tcPr>
            <w:vAlign w:val="center"/>
          </w:tcPr>
          <w:p>
            <w:r>
              <w:t xml:space="preserve">Reading fluency: By grades 5 and 6, students are reading fluently.
 • Accuracy: Students in grades 5 and 6 read with strong oral reading accuracy. The preference is for students to read more slowly and comprehend rather than read quickly with errors.
</w:t>
            </w:r>
          </w:p>
        </w:tc>
      </w:tr>
    </w:tbl>
    <w:p>
      <w:pPr>
        <w:pStyle w:val="Heading3"/>
      </w:pPr>
      <w:r>
        <w:t xml:space="preserve">Challenges</w:t>
      </w:r>
    </w:p>
    <w:tbl>
      <w:tblPr>
        <w:tblStyle w:val="TableGrid"/>
        <w:tblW w:w="5000" w:type="pct"/>
      </w:tblPr>
      <w:tblGrid>
        <w:gridCol/>
      </w:tblGrid>
      <w:tr>
        <w:tc>
          <w:tcPr>
            <w:vAlign w:val="center"/>
          </w:tcPr>
          <w:p>
            <w:r>
              <w:t xml:space="preserve">Acadience: Nonsense word fluency: First grade shows less growth, possibly because students convert nonsense words into real words.
 • Larger class sizes in first and second grade; many staff members were new but have now been trained in Heggerty.
 • Fluency remains an area for improvement.
 • A significant portion of students have IEPs, affecting scores.
</w:t>
            </w:r>
          </w:p>
        </w:tc>
      </w:tr>
      <w:tr>
        <w:tc>
          <w:tcPr>
            <w:vAlign w:val="center"/>
          </w:tcPr>
          <w:p>
            <w:r>
              <w:t xml:space="preserve">CDTs High number of students with IEPs being assessed at incorrect levels, resulting in data misalignment with CDT outcomes.
</w:t>
            </w:r>
          </w:p>
        </w:tc>
      </w:tr>
      <w:tr>
        <w:tc>
          <w:tcPr>
            <w:vAlign w:val="center"/>
          </w:tcPr>
          <w:p>
            <w:r>
              <w:t xml:space="preserve">Elevated rates of new students impact the consistency of instruction, assessment, and year to year growth.
</w:t>
            </w:r>
          </w:p>
        </w:tc>
      </w:tr>
      <w:tr>
        <w:tc>
          <w:tcPr>
            <w:vAlign w:val="center"/>
          </w:tcPr>
          <w:p>
            <w:r>
              <w:t xml:space="preserve">Test anxiety, lack of motivation, and shutting down interfere with accurate assessment performance . Implementation challenges associated with the new testing system and format (including dropdown menus and other tech features).
</w:t>
            </w:r>
          </w:p>
        </w:tc>
      </w:tr>
    </w:tbl>
    <w:p>
      <w:pPr>
        <w:pStyle w:val="Heading2"/>
      </w:pPr>
      <w:r>
        <w:t xml:space="preserve">Mathematics</w:t>
      </w:r>
    </w:p>
    <w:tbl>
      <w:tblPr>
        <w:tblStyle w:val="TableGrid"/>
        <w:tblW w:w="5000" w:type="pct"/>
      </w:tblPr>
      <w:tblGrid>
        <w:gridCol/>
        <w:gridCol/>
      </w:tblGrid>
      <w:tr>
        <w:tc>
          <w:tcPr>
            <w:vAlign w:val="center"/>
          </w:tcPr>
          <w:p>
            <w:r>
              <w:rPr>
                <w:b/>
              </w:rPr>
              <w:t xml:space="preserve">Data</w:t>
            </w:r>
          </w:p>
        </w:tc>
        <w:tc>
          <w:tcPr>
            <w:vAlign w:val="center"/>
          </w:tcPr>
          <w:p>
            <w:r>
              <w:rPr>
                <w:b/>
              </w:rPr>
              <w:t xml:space="preserve">Comments/Notable Observations</w:t>
            </w:r>
          </w:p>
        </w:tc>
      </w:tr>
      <w:tr>
        <w:tc>
          <w:tcPr>
            <w:vAlign w:val="center"/>
          </w:tcPr>
          <w:p>
            <w:r>
              <w:t xml:space="preserve">CDTs </w:t>
            </w:r>
          </w:p>
        </w:tc>
        <w:tc>
          <w:tcPr>
            <w:vAlign w:val="center"/>
          </w:tcPr>
          <w:p>
            <w:r>
              <w:t xml:space="preserve">The students were weak in Numbers and Operations, Algebraic Concepts, and strongest in Measurement, Data, and Probability; Geometry
Areas for Growth: Informational Standards (not a weakness, but slightly lower compared to other areas).</w:t>
            </w:r>
          </w:p>
        </w:tc>
      </w:tr>
      <w:tr>
        <w:tc>
          <w:tcPr>
            <w:vAlign w:val="center"/>
          </w:tcPr>
          <w:p>
            <w:r>
              <w:t xml:space="preserve">CDTs</w:t>
            </w:r>
          </w:p>
        </w:tc>
        <w:tc>
          <w:tcPr>
            <w:vAlign w:val="center"/>
          </w:tcPr>
          <w:p>
            <w:r>
              <w:t xml:space="preserve">Challenges
 • Concepts and applications
 • Motivation and test-taking skills (students struggle with dropdown boxes, rushing, limited stamina)
 • Incentives for motivation have not been effective
 • Some students are assessed at the wrong level, especially those with IEPs
 • Student shutdown due to behavior, stamina, or lack of motivation
</w:t>
            </w:r>
          </w:p>
        </w:tc>
      </w:tr>
      <w:tr>
        <w:tc>
          <w:tcPr>
            <w:vAlign w:val="center"/>
          </w:tcPr>
          <w:p>
            <w:r>
              <w:t xml:space="preserve">Acadience</w:t>
            </w:r>
          </w:p>
        </w:tc>
        <w:tc>
          <w:tcPr>
            <w:vAlign w:val="center"/>
          </w:tcPr>
          <w:p>
            <w:r>
              <w:t xml:space="preserve">Math Acadience data shows strength in measurement and probability, supported by a fully implemented curriculum and a strong educator engagement. New teachers are benefiting from an effective mentoring program that has contributed to improved student outcomes. Challenges persist in concepts and applications, as well as student motivation. Some students. especially those with IEP's, are assessed at inappropriate levels, and student shutdown due to behavior, stamina, or low motivation continues to impact performance. </w:t>
            </w:r>
          </w:p>
        </w:tc>
      </w:tr>
      <w:tr>
        <w:tc>
          <w:tcPr>
            <w:vAlign w:val="center"/>
          </w:tcPr>
          <w:p>
            <w:r>
              <w:t xml:space="preserve">PSSA</w:t>
            </w:r>
          </w:p>
        </w:tc>
        <w:tc>
          <w:tcPr>
            <w:vAlign w:val="center"/>
          </w:tcPr>
          <w:p>
            <w:r>
              <w:t xml:space="preserve">Math scores are significantly lower than the year prior.</w:t>
            </w:r>
          </w:p>
        </w:tc>
      </w:tr>
    </w:tbl>
    <w:p>
      <w:pPr>
        <w:pStyle w:val="Heading2"/>
      </w:pPr>
      <w:r>
        <w:t xml:space="preserve">Mathematics Summary</w:t>
      </w:r>
    </w:p>
    <w:p>
      <w:pPr>
        <w:pStyle w:val="Heading3"/>
      </w:pPr>
      <w:r>
        <w:t xml:space="preserve">Strengths</w:t>
      </w:r>
    </w:p>
    <w:tbl>
      <w:tblPr>
        <w:tblStyle w:val="TableGrid"/>
        <w:tblW w:w="5000" w:type="pct"/>
      </w:tblPr>
      <w:tblGrid>
        <w:gridCol/>
      </w:tblGrid>
      <w:tr>
        <w:tc>
          <w:tcPr>
            <w:vAlign w:val="center"/>
          </w:tcPr>
          <w:p>
            <w:r>
              <w:t xml:space="preserve">CDT: Students were strongest in Measurement, Data, and Probability; Geometry
</w:t>
            </w:r>
          </w:p>
        </w:tc>
      </w:tr>
      <w:tr>
        <w:tc>
          <w:tcPr>
            <w:vAlign w:val="center"/>
          </w:tcPr>
          <w:p>
            <w:r>
              <w:t xml:space="preserve">We have new staff who are embracing their roles as teachers who want their students to learn and succeed.</w:t>
            </w:r>
          </w:p>
        </w:tc>
      </w:tr>
      <w:tr>
        <w:tc>
          <w:tcPr>
            <w:vAlign w:val="center"/>
          </w:tcPr>
          <w:p>
            <w:r>
              <w:t xml:space="preserve">A strong mentoring program that has already contributed to improved test scores among newer staff
</w:t>
            </w:r>
          </w:p>
        </w:tc>
      </w:tr>
      <w:tr>
        <w:tc>
          <w:tcPr>
            <w:vAlign w:val="center"/>
          </w:tcPr>
          <w:p>
            <w:r>
              <w:t xml:space="preserve">Fully implemented curriculum</w:t>
            </w:r>
          </w:p>
        </w:tc>
      </w:tr>
    </w:tbl>
    <w:p>
      <w:pPr>
        <w:pStyle w:val="Heading3"/>
      </w:pPr>
      <w:r>
        <w:t xml:space="preserve">Challenges</w:t>
      </w:r>
    </w:p>
    <w:tbl>
      <w:tblPr>
        <w:tblStyle w:val="TableGrid"/>
        <w:tblW w:w="5000" w:type="pct"/>
      </w:tblPr>
      <w:tblGrid>
        <w:gridCol/>
      </w:tblGrid>
      <w:tr>
        <w:tc>
          <w:tcPr>
            <w:vAlign w:val="center"/>
          </w:tcPr>
          <w:p>
            <w:r>
              <w:t xml:space="preserve">The students were weak in Numbers and Operations,  Concepts and Applications, as well as Algebraic Concepts. Areas for Growth: Informational Standards (not a weakness, but slightly lower compared to other areas)
</w:t>
            </w:r>
          </w:p>
        </w:tc>
      </w:tr>
      <w:tr>
        <w:tc>
          <w:tcPr>
            <w:vAlign w:val="center"/>
          </w:tcPr>
          <w:p>
            <w:r>
              <w:t xml:space="preserve">Some students are assessed at the wrong level, especially those with IEPs.
</w:t>
            </w:r>
          </w:p>
        </w:tc>
      </w:tr>
      <w:tr>
        <w:tc>
          <w:tcPr>
            <w:vAlign w:val="center"/>
          </w:tcPr>
          <w:p>
            <w:r>
              <w:t xml:space="preserve">Scheduling effective instructional times for multi grade levels to allow for an uninterrupted time block.
</w:t>
            </w:r>
          </w:p>
        </w:tc>
      </w:tr>
      <w:tr>
        <w:tc>
          <w:tcPr>
            <w:vAlign w:val="center"/>
          </w:tcPr>
          <w:p>
            <w:r>
              <w:t xml:space="preserve">Motivation and test-taking skills (students struggle with dropdown boxes, rushing, and limited stamina).  Student shutdown due to behavior, stamina, or lack of motivation. Incentives for motivation have not been effective.</w:t>
            </w:r>
          </w:p>
        </w:tc>
      </w:tr>
    </w:tbl>
    <w:p>
      <w:pPr>
        <w:pStyle w:val="Heading2"/>
      </w:pPr>
      <w:r>
        <w:t xml:space="preserve">Science, Technology, and Engineering Education</w:t>
      </w:r>
    </w:p>
    <w:tbl>
      <w:tblPr>
        <w:tblStyle w:val="TableGrid"/>
        <w:tblW w:w="5000" w:type="pct"/>
      </w:tblPr>
      <w:tblGrid>
        <w:gridCol/>
        <w:gridCol/>
      </w:tblGrid>
      <w:tr>
        <w:tc>
          <w:tcPr>
            <w:vAlign w:val="center"/>
          </w:tcPr>
          <w:p>
            <w:r>
              <w:rPr>
                <w:b/>
              </w:rPr>
              <w:t xml:space="preserve">Data</w:t>
            </w:r>
          </w:p>
        </w:tc>
        <w:tc>
          <w:tcPr>
            <w:vAlign w:val="center"/>
          </w:tcPr>
          <w:p>
            <w:r>
              <w:rPr>
                <w:b/>
              </w:rPr>
              <w:t xml:space="preserve">Comments/Notable Observations</w:t>
            </w:r>
          </w:p>
        </w:tc>
      </w:tr>
      <w:tr>
        <w:tc>
          <w:tcPr>
            <w:vAlign w:val="center"/>
          </w:tcPr>
          <w:p>
            <w:r>
              <w:t xml:space="preserve">CDTs</w:t>
            </w:r>
          </w:p>
        </w:tc>
        <w:tc>
          <w:tcPr>
            <w:vAlign w:val="center"/>
          </w:tcPr>
          <w:p>
            <w:r>
              <w:t xml:space="preserve">Many students fall into the “bubble” range, meaning their performance could shift either up or down.</w:t>
            </w:r>
          </w:p>
        </w:tc>
      </w:tr>
      <w:tr>
        <w:tc>
          <w:tcPr>
            <w:vAlign w:val="center"/>
          </w:tcPr>
          <w:p>
            <w:r>
              <w:t xml:space="preserve">CDTs</w:t>
            </w:r>
          </w:p>
        </w:tc>
        <w:tc>
          <w:tcPr>
            <w:vAlign w:val="center"/>
          </w:tcPr>
          <w:p>
            <w:r>
              <w:t xml:space="preserve">Focus should be on enrichment and targeted support to help bubble students progress upward.
</w:t>
            </w:r>
          </w:p>
        </w:tc>
      </w:tr>
      <w:tr>
        <w:tc>
          <w:tcPr>
            <w:vAlign w:val="center"/>
          </w:tcPr>
          <w:p>
            <w:r>
              <w:t xml:space="preserve">Acadience and CDTs</w:t>
            </w:r>
          </w:p>
        </w:tc>
        <w:tc>
          <w:tcPr>
            <w:vAlign w:val="center"/>
          </w:tcPr>
          <w:p>
            <w:r>
              <w:t xml:space="preserve">Enrichment opportunities are being provided during daily WIN time.</w:t>
            </w:r>
          </w:p>
        </w:tc>
      </w:tr>
    </w:tbl>
    <w:p>
      <w:pPr>
        <w:pStyle w:val="Heading2"/>
      </w:pPr>
      <w:r>
        <w:t xml:space="preserve">Science, Technology, and Engineering Education Summary</w:t>
      </w:r>
    </w:p>
    <w:p>
      <w:pPr>
        <w:pStyle w:val="Heading3"/>
      </w:pPr>
      <w:r>
        <w:t xml:space="preserve">Strengths</w:t>
      </w:r>
    </w:p>
    <w:tbl>
      <w:tblPr>
        <w:tblStyle w:val="TableGrid"/>
        <w:tblW w:w="5000" w:type="pct"/>
      </w:tblPr>
      <w:tblGrid>
        <w:gridCol/>
      </w:tblGrid>
      <w:tr>
        <w:tc>
          <w:tcPr>
            <w:vAlign w:val="center"/>
          </w:tcPr>
          <w:p>
            <w:r>
              <w:t xml:space="preserve">Life Science; strong performance across all content areas</w:t>
            </w:r>
          </w:p>
        </w:tc>
      </w:tr>
      <w:tr>
        <w:tc>
          <w:tcPr>
            <w:vAlign w:val="center"/>
          </w:tcPr>
          <w:p>
            <w:r>
              <w:t xml:space="preserve">• At the beginning of the year, many fifth graders scored in green and blue on CDT (levels typically expected at the end of the year)
 • Strength in Earth and Space Science for fifth grade</w:t>
            </w:r>
          </w:p>
        </w:tc>
      </w:tr>
      <w:tr>
        <w:tc>
          <w:tcPr>
            <w:vAlign w:val="center"/>
          </w:tcPr>
          <w:p>
            <w:r>
              <w:t xml:space="preserve">Enrichment opportunities provided during WIN</w:t>
            </w:r>
          </w:p>
        </w:tc>
      </w:tr>
      <w:tr>
        <w:tc>
          <w:tcPr>
            <w:vAlign w:val="center"/>
          </w:tcPr>
          <w:p>
            <w:r>
              <w:t xml:space="preserve">New STEELS standards are embedded into the updated curriculum</w:t>
            </w:r>
          </w:p>
        </w:tc>
      </w:tr>
    </w:tbl>
    <w:p>
      <w:pPr>
        <w:pStyle w:val="Heading3"/>
      </w:pPr>
      <w:r>
        <w:t xml:space="preserve">Challenges</w:t>
      </w:r>
    </w:p>
    <w:tbl>
      <w:tblPr>
        <w:tblStyle w:val="TableGrid"/>
        <w:tblW w:w="5000" w:type="pct"/>
      </w:tblPr>
      <w:tblGrid>
        <w:gridCol/>
      </w:tblGrid>
      <w:tr>
        <w:tc>
          <w:tcPr>
            <w:vAlign w:val="center"/>
          </w:tcPr>
          <w:p>
            <w:r>
              <w:t xml:space="preserve">Physical Science, Environmental Literacy, and Sustainability curriculum was newly written and has not had time to take effect and evolve.
</w:t>
            </w:r>
          </w:p>
        </w:tc>
      </w:tr>
      <w:tr>
        <w:tc>
          <w:tcPr>
            <w:vAlign w:val="center"/>
          </w:tcPr>
          <w:p>
            <w:r>
              <w:t xml:space="preserve">Fourth-grade performance is not as strong because of prior staffing issues.</w:t>
            </w:r>
          </w:p>
        </w:tc>
      </w:tr>
      <w:tr>
        <w:tc>
          <w:tcPr>
            <w:vAlign w:val="center"/>
          </w:tcPr>
          <w:p>
            <w:r>
              <w:t xml:space="preserve">New move-in students</w:t>
            </w:r>
          </w:p>
        </w:tc>
      </w:tr>
      <w:tr>
        <w:tc>
          <w:tcPr>
            <w:vAlign w:val="center"/>
          </w:tcPr>
          <w:p>
            <w:r>
              <w:t xml:space="preserve">Some students rely heavily on having items read aloud and may not be auditory learners
 Limited exposure to scientific vocabulary</w:t>
            </w:r>
          </w:p>
        </w:tc>
      </w:tr>
    </w:tbl>
    <w:p>
      <w:r>
        <w:br/>
      </w:r>
      <w:r>
        <w:br/>
      </w:r>
      <w:r>
        <w:br/>
      </w:r>
      <w:r>
        <w:br/>
      </w:r>
      <w:r>
        <w:br/>
      </w:r>
      <w:r>
        <w:br/>
      </w:r>
      <w:r>
        <w:br w:type="page"/>
      </w:r>
      <w:r>
        <w:lastRenderedPageBreak/>
      </w:r>
    </w:p>
    <w:p>
      <w:pPr>
        <w:pStyle w:val="Heading1"/>
      </w:pPr>
      <w:r>
        <w:t xml:space="preserve">Related Academics</w:t>
      </w:r>
    </w:p>
    <w:p>
      <w:pPr>
        <w:pStyle w:val="Heading2"/>
      </w:pPr>
      <w:r>
        <w:t xml:space="preserve">Career Readiness</w:t>
      </w:r>
    </w:p>
    <w:tbl>
      <w:tblPr>
        <w:tblStyle w:val="TableGrid"/>
        <w:tblW w:w="5000" w:type="pct"/>
      </w:tblPr>
      <w:tblGrid>
        <w:gridCol/>
        <w:gridCol/>
      </w:tblGrid>
      <w:tr>
        <w:tc>
          <w:tcPr>
            <w:vAlign w:val="center"/>
          </w:tcPr>
          <w:p>
            <w:r>
              <w:rPr>
                <w:b/>
              </w:rPr>
              <w:t xml:space="preserve">Data</w:t>
            </w:r>
          </w:p>
        </w:tc>
        <w:tc>
          <w:tcPr>
            <w:vAlign w:val="center"/>
          </w:tcPr>
          <w:p>
            <w:r>
              <w:rPr>
                <w:b/>
              </w:rPr>
              <w:t xml:space="preserve">Comments/Notable Observations</w:t>
            </w:r>
          </w:p>
        </w:tc>
      </w:tr>
      <w:tr>
        <w:tc>
          <w:tcPr>
            <w:vAlign w:val="center"/>
          </w:tcPr>
          <w:p>
            <w:r>
              <w:t xml:space="preserve">Future Ready PA Index</w:t>
            </w:r>
          </w:p>
        </w:tc>
        <w:tc>
          <w:tcPr>
            <w:vAlign w:val="center"/>
          </w:tcPr>
          <w:p>
            <w:r>
              <w:t xml:space="preserve">Advanced</w:t>
            </w:r>
          </w:p>
        </w:tc>
      </w:tr>
    </w:tbl>
    <w:p>
      <w:pPr>
        <w:pStyle w:val="Heading2"/>
      </w:pPr>
      <w:r>
        <w:t xml:space="preserve">Career and Technical Education (CTE) Programs</w:t>
      </w:r>
    </w:p>
    <w:p>
      <w:r>
        <w:rPr>
          <w:b/>
        </w:rPr>
        <w:t xml:space="preserve">True</w:t>
      </w:r>
      <w:r>
        <w:t xml:space="preserve"> Career and Technical Education (CTE) Programs Omit</w:t>
      </w:r>
    </w:p>
    <w:p>
      <w:pPr>
        <w:pStyle w:val="Heading2"/>
      </w:pPr>
      <w:r>
        <w:t xml:space="preserve">Arts and Humanities</w:t>
      </w:r>
    </w:p>
    <w:p>
      <w:r>
        <w:rPr>
          <w:b/>
        </w:rPr>
        <w:t xml:space="preserve">True</w:t>
      </w:r>
      <w:r>
        <w:t xml:space="preserve"> Arts and Humanities Omit</w:t>
      </w:r>
    </w:p>
    <w:p>
      <w:pPr>
        <w:pStyle w:val="Heading2"/>
      </w:pPr>
      <w:r>
        <w:t xml:space="preserve">Environment and Ecology</w:t>
      </w:r>
    </w:p>
    <w:p>
      <w:r>
        <w:rPr>
          <w:b/>
        </w:rPr>
        <w:t xml:space="preserve">True</w:t>
      </w:r>
      <w:r>
        <w:t xml:space="preserve"> Environment and Ecology Omit</w:t>
      </w:r>
    </w:p>
    <w:p>
      <w:pPr>
        <w:pStyle w:val="Heading2"/>
      </w:pPr>
      <w:r>
        <w:t xml:space="preserve">Family and Consumer Sciences</w:t>
      </w:r>
    </w:p>
    <w:p>
      <w:r>
        <w:rPr>
          <w:b/>
        </w:rPr>
        <w:t xml:space="preserve">True</w:t>
      </w:r>
      <w:r>
        <w:t xml:space="preserve"> Family and Consumer Sciences Omit</w:t>
      </w:r>
    </w:p>
    <w:p>
      <w:pPr>
        <w:pStyle w:val="Heading2"/>
      </w:pPr>
      <w:r>
        <w:t xml:space="preserve">Health, Safety, and Physical Education</w:t>
      </w:r>
    </w:p>
    <w:p>
      <w:r>
        <w:rPr>
          <w:b/>
        </w:rPr>
        <w:t xml:space="preserve">True</w:t>
      </w:r>
      <w:r>
        <w:t xml:space="preserve"> Health, Safety, and Physical Education Omit</w:t>
      </w:r>
    </w:p>
    <w:p>
      <w:pPr>
        <w:pStyle w:val="Heading2"/>
      </w:pPr>
      <w:r>
        <w:t xml:space="preserve">Social Studies (Civics and Government, Economics, Geography, History)</w:t>
      </w:r>
    </w:p>
    <w:p>
      <w:r>
        <w:rPr>
          <w:b/>
        </w:rPr>
        <w:t xml:space="preserve">True</w:t>
      </w:r>
      <w:r>
        <w:t xml:space="preserve"> Social Studies (Civics and Government, Economics, Geography, History) Omit</w:t>
      </w:r>
    </w:p>
    <w:p>
      <w:pPr>
        <w:pStyle w:val="Heading2"/>
      </w:pPr>
      <w:r>
        <w:t xml:space="preserve">Articulation Agreements</w:t>
      </w:r>
    </w:p>
    <w:p>
      <w:r>
        <w:rPr>
          <w:b/>
        </w:rPr>
        <w:t xml:space="preserve">True</w:t>
      </w:r>
      <w:r>
        <w:t xml:space="preserve"> We do not have any articulation agreements because we do not have high school students, or ALL current agreements have been uploaded to other FRCPP plans.</w:t>
      </w:r>
    </w:p>
    <w:p>
      <w:pPr>
        <w:pStyle w:val="Heading2"/>
      </w:pPr>
      <w:r>
        <w:t xml:space="preserve">Summary</w:t>
      </w:r>
    </w:p>
    <w:p>
      <w:pPr>
        <w:pStyle w:val="Heading3"/>
      </w:pPr>
      <w:r>
        <w:t xml:space="preserve">Strengths</w:t>
      </w:r>
    </w:p>
    <w:p>
      <w:r>
        <w:t xml:space="preserve">Review the comments and notable observations listed previously and record 2-5 strengths which have had the most impact in improving your most pressing challenges.</w:t>
      </w:r>
    </w:p>
    <w:tbl>
      <w:tblPr>
        <w:tblStyle w:val="TableGrid"/>
        <w:tblW w:w="5000" w:type="pct"/>
      </w:tblPr>
      <w:tblGrid>
        <w:gridCol/>
      </w:tblGrid>
      <w:tr>
        <w:tc>
          <w:tcPr>
            <w:vAlign w:val="center"/>
          </w:tcPr>
          <w:p>
            <w:r>
              <w:t xml:space="preserve">Our school only consists of K-6 and a smaller portion of our population is being reported for career readiness. </w:t>
            </w:r>
          </w:p>
        </w:tc>
      </w:tr>
      <w:tr>
        <w:tc>
          <w:tcPr>
            <w:vAlign w:val="center"/>
          </w:tcPr>
          <w:p>
            <w:r>
              <w:t xml:space="preserve">We have established, consistent activities and programming to provide our students with career readiness. </w:t>
            </w:r>
          </w:p>
        </w:tc>
      </w:tr>
    </w:tbl>
    <w:p>
      <w:pPr>
        <w:pStyle w:val="Heading3"/>
      </w:pPr>
      <w:r>
        <w:t xml:space="preserve">Challenges</w:t>
      </w:r>
    </w:p>
    <w:p>
      <w:r>
        <w:t xml:space="preserve">Review the comments and notable observations listed previously and record 2-5 Challenges which if improved would have the most impact in achieving your Mission and Vision.</w:t>
      </w:r>
    </w:p>
    <w:tbl>
      <w:tblPr>
        <w:tblStyle w:val="TableGrid"/>
        <w:tblW w:w="5000" w:type="pct"/>
      </w:tblPr>
      <w:tblGrid>
        <w:gridCol/>
      </w:tblGrid>
      <w:tr>
        <w:tc>
          <w:tcPr>
            <w:vAlign w:val="center"/>
          </w:tcPr>
          <w:p>
            <w:r>
              <w:t xml:space="preserve">Ensure that career readiness is continued for future students. </w:t>
            </w:r>
          </w:p>
        </w:tc>
      </w:tr>
    </w:tbl>
    <w:p>
      <w:r>
        <w:br/>
      </w:r>
      <w:r>
        <w:br/>
      </w:r>
      <w:r>
        <w:br/>
      </w:r>
      <w:r>
        <w:br/>
      </w:r>
      <w:r>
        <w:br/>
      </w:r>
      <w:r>
        <w:br/>
      </w:r>
      <w:r>
        <w:br w:type="page"/>
      </w:r>
      <w:r>
        <w:lastRenderedPageBreak/>
      </w:r>
    </w:p>
    <w:p>
      <w:pPr>
        <w:pStyle w:val="Heading1"/>
      </w:pPr>
      <w:r>
        <w:t xml:space="preserve">Equity Considerations</w:t>
      </w:r>
    </w:p>
    <w:p>
      <w:pPr>
        <w:pStyle w:val="Heading2"/>
      </w:pPr>
      <w:r>
        <w:t xml:space="preserve">English Learners</w:t>
      </w:r>
    </w:p>
    <w:p>
      <w:r>
        <w:rPr>
          <w:b/>
        </w:rPr>
        <w:t xml:space="preserve">False</w:t>
      </w:r>
      <w:r>
        <w:t xml:space="preserve"> This student group is not a focus in this plan.</w:t>
      </w:r>
    </w:p>
    <w:p>
      <w:r>
        <w:br/>
      </w:r>
    </w:p>
    <w:tbl>
      <w:tblPr>
        <w:tblStyle w:val="TableGrid"/>
        <w:tblW w:w="5000" w:type="pct"/>
      </w:tblPr>
      <w:tblGrid>
        <w:gridCol/>
        <w:gridCol/>
      </w:tblGrid>
      <w:tr>
        <w:tc>
          <w:tcPr>
            <w:vAlign w:val="center"/>
          </w:tcPr>
          <w:p>
            <w:r>
              <w:t xml:space="preserve">Data</w:t>
            </w:r>
          </w:p>
        </w:tc>
        <w:tc>
          <w:tcPr>
            <w:vAlign w:val="center"/>
          </w:tcPr>
          <w:p>
            <w:r>
              <w:t xml:space="preserve">Comments/Notable Observations</w:t>
            </w:r>
          </w:p>
        </w:tc>
      </w:tr>
      <w:tr>
        <w:tc>
          <w:tcPr>
            <w:vAlign w:val="center"/>
          </w:tcPr>
          <w:p>
            <w:r>
              <w:t xml:space="preserve">PSSA - Future Ready PA</w:t>
            </w:r>
          </w:p>
        </w:tc>
        <w:tc>
          <w:tcPr>
            <w:vAlign w:val="center"/>
          </w:tcPr>
          <w:p>
            <w:r>
              <w:t xml:space="preserve">EL population remains steady</w:t>
            </w:r>
          </w:p>
        </w:tc>
      </w:tr>
      <w:tr>
        <w:tc>
          <w:tcPr>
            <w:vAlign w:val="center"/>
          </w:tcPr>
          <w:p/>
        </w:tc>
        <w:tc>
          <w:tcPr>
            <w:vAlign w:val="center"/>
          </w:tcPr>
          <w:p/>
        </w:tc>
      </w:tr>
      <w:tr>
        <w:tc>
          <w:tcPr>
            <w:vAlign w:val="center"/>
          </w:tcPr>
          <w:p/>
        </w:tc>
        <w:tc>
          <w:tcPr>
            <w:vAlign w:val="center"/>
          </w:tcPr>
          <w:p/>
        </w:tc>
      </w:tr>
    </w:tbl>
    <w:p>
      <w:pPr>
        <w:pStyle w:val="Heading2"/>
      </w:pPr>
      <w:r>
        <w:t xml:space="preserve">Students with Disabilities</w:t>
      </w:r>
    </w:p>
    <w:p>
      <w:r>
        <w:rPr>
          <w:b/>
        </w:rPr>
        <w:t xml:space="preserve">False</w:t>
      </w:r>
      <w:r>
        <w:t xml:space="preserve"> This student group is not a focus in this plan.</w:t>
      </w:r>
    </w:p>
    <w:p>
      <w:r>
        <w:br/>
      </w:r>
    </w:p>
    <w:tbl>
      <w:tblPr>
        <w:tblStyle w:val="TableGrid"/>
        <w:tblW w:w="5000" w:type="pct"/>
      </w:tblPr>
      <w:tblGrid>
        <w:gridCol/>
        <w:gridCol/>
      </w:tblGrid>
      <w:tr>
        <w:tc>
          <w:tcPr>
            <w:vAlign w:val="center"/>
          </w:tcPr>
          <w:p>
            <w:r>
              <w:t xml:space="preserve">Data</w:t>
            </w:r>
          </w:p>
        </w:tc>
        <w:tc>
          <w:tcPr>
            <w:vAlign w:val="center"/>
          </w:tcPr>
          <w:p>
            <w:r>
              <w:t xml:space="preserve">Comments/Notable Observations</w:t>
            </w:r>
          </w:p>
        </w:tc>
      </w:tr>
      <w:tr>
        <w:tc>
          <w:tcPr>
            <w:vAlign w:val="center"/>
          </w:tcPr>
          <w:p>
            <w:r>
              <w:t xml:space="preserve">Future Ready PA</w:t>
            </w:r>
          </w:p>
        </w:tc>
        <w:tc>
          <w:tcPr>
            <w:vAlign w:val="center"/>
          </w:tcPr>
          <w:p>
            <w:r>
              <w:t xml:space="preserve">Percentage has slightly increased</w:t>
            </w:r>
          </w:p>
        </w:tc>
      </w:tr>
      <w:tr>
        <w:tc>
          <w:tcPr>
            <w:vAlign w:val="center"/>
          </w:tcPr>
          <w:p/>
        </w:tc>
        <w:tc>
          <w:tcPr>
            <w:vAlign w:val="center"/>
          </w:tcPr>
          <w:p/>
        </w:tc>
      </w:tr>
      <w:tr>
        <w:tc>
          <w:tcPr>
            <w:vAlign w:val="center"/>
          </w:tcPr>
          <w:p/>
        </w:tc>
        <w:tc>
          <w:tcPr>
            <w:vAlign w:val="center"/>
          </w:tcPr>
          <w:p/>
        </w:tc>
      </w:tr>
    </w:tbl>
    <w:p>
      <w:pPr>
        <w:pStyle w:val="Heading2"/>
      </w:pPr>
      <w:r>
        <w:t xml:space="preserve">Students Considered Economically Disadvantaged</w:t>
      </w:r>
    </w:p>
    <w:p>
      <w:r>
        <w:rPr>
          <w:b/>
        </w:rPr>
        <w:t xml:space="preserve">False</w:t>
      </w:r>
      <w:r>
        <w:t xml:space="preserve"> This student group is not a focus in this plan.</w:t>
      </w:r>
    </w:p>
    <w:p>
      <w:r>
        <w:br/>
      </w:r>
    </w:p>
    <w:tbl>
      <w:tblPr>
        <w:tblStyle w:val="TableGrid"/>
        <w:tblW w:w="5000" w:type="pct"/>
      </w:tblPr>
      <w:tblGrid>
        <w:gridCol/>
        <w:gridCol/>
      </w:tblGrid>
      <w:tr>
        <w:tc>
          <w:tcPr>
            <w:vAlign w:val="center"/>
          </w:tcPr>
          <w:p>
            <w:r>
              <w:t xml:space="preserve">Data</w:t>
            </w:r>
          </w:p>
        </w:tc>
        <w:tc>
          <w:tcPr>
            <w:vAlign w:val="center"/>
          </w:tcPr>
          <w:p>
            <w:r>
              <w:t xml:space="preserve">Comments/Notable Observations</w:t>
            </w:r>
          </w:p>
        </w:tc>
      </w:tr>
      <w:tr>
        <w:tc>
          <w:tcPr>
            <w:vAlign w:val="center"/>
          </w:tcPr>
          <w:p>
            <w:r>
              <w:t xml:space="preserve">Future Ready PA</w:t>
            </w:r>
          </w:p>
        </w:tc>
        <w:tc>
          <w:tcPr>
            <w:vAlign w:val="center"/>
          </w:tcPr>
          <w:p>
            <w:r>
              <w:t xml:space="preserve">Population increased significantly between 2022-2023 and 2023-2024, then population remained steady</w:t>
            </w:r>
          </w:p>
        </w:tc>
      </w:tr>
      <w:tr>
        <w:tc>
          <w:tcPr>
            <w:vAlign w:val="center"/>
          </w:tcPr>
          <w:p/>
        </w:tc>
        <w:tc>
          <w:tcPr>
            <w:vAlign w:val="center"/>
          </w:tcPr>
          <w:p/>
        </w:tc>
      </w:tr>
      <w:tr>
        <w:tc>
          <w:tcPr>
            <w:vAlign w:val="center"/>
          </w:tcPr>
          <w:p/>
        </w:tc>
        <w:tc>
          <w:tcPr>
            <w:vAlign w:val="center"/>
          </w:tcPr>
          <w:p/>
        </w:tc>
      </w:tr>
    </w:tbl>
    <w:p>
      <w:pPr>
        <w:pStyle w:val="Heading2"/>
      </w:pPr>
      <w:r>
        <w:t xml:space="preserve">Student Groups by Race/Ethnicity</w:t>
      </w:r>
    </w:p>
    <w:p>
      <w:r>
        <w:rPr>
          <w:b/>
        </w:rPr>
        <w:t xml:space="preserve">False</w:t>
      </w:r>
      <w:r>
        <w:t xml:space="preserve"> This student group is not a focus in this plan.</w:t>
      </w:r>
    </w:p>
    <w:p>
      <w:r>
        <w:br/>
      </w:r>
    </w:p>
    <w:tbl>
      <w:tblPr>
        <w:tblStyle w:val="TableGrid"/>
        <w:tblW w:w="5000" w:type="pct"/>
      </w:tblPr>
      <w:tblGrid>
        <w:gridCol/>
        <w:gridCol/>
      </w:tblGrid>
      <w:tr>
        <w:tc>
          <w:tcPr>
            <w:vAlign w:val="center"/>
          </w:tcPr>
          <w:p>
            <w:r>
              <w:t xml:space="preserve">Student Groups</w:t>
            </w:r>
          </w:p>
        </w:tc>
        <w:tc>
          <w:tcPr>
            <w:vAlign w:val="center"/>
          </w:tcPr>
          <w:p>
            <w:r>
              <w:t xml:space="preserve">Comments/Notable Observations</w:t>
            </w:r>
          </w:p>
        </w:tc>
      </w:tr>
      <w:tr>
        <w:tc>
          <w:tcPr>
            <w:vAlign w:val="center"/>
          </w:tcPr>
          <w:p>
            <w:r>
              <w:t xml:space="preserve">Asian                                                    </w:t>
            </w:r>
          </w:p>
        </w:tc>
        <w:tc>
          <w:tcPr>
            <w:vAlign w:val="center"/>
          </w:tcPr>
          <w:p>
            <w:r>
              <w:t xml:space="preserve">steady</w:t>
            </w:r>
          </w:p>
        </w:tc>
      </w:tr>
      <w:tr>
        <w:tc>
          <w:tcPr>
            <w:vAlign w:val="center"/>
          </w:tcPr>
          <w:p>
            <w:r>
              <w:t xml:space="preserve">Black                                                    </w:t>
            </w:r>
          </w:p>
        </w:tc>
        <w:tc>
          <w:tcPr>
            <w:vAlign w:val="center"/>
          </w:tcPr>
          <w:p>
            <w:r>
              <w:t xml:space="preserve">increased slightly</w:t>
            </w:r>
          </w:p>
        </w:tc>
      </w:tr>
      <w:tr>
        <w:tc>
          <w:tcPr>
            <w:vAlign w:val="center"/>
          </w:tcPr>
          <w:p>
            <w:r>
              <w:t xml:space="preserve">Hispanic                                                    </w:t>
            </w:r>
          </w:p>
        </w:tc>
        <w:tc>
          <w:tcPr>
            <w:vAlign w:val="center"/>
          </w:tcPr>
          <w:p>
            <w:r>
              <w:t xml:space="preserve">decreased slightly</w:t>
            </w:r>
          </w:p>
        </w:tc>
      </w:tr>
      <w:tr>
        <w:tc>
          <w:tcPr>
            <w:vAlign w:val="center"/>
          </w:tcPr>
          <w:p>
            <w:r>
              <w:t xml:space="preserve">White                                                    </w:t>
            </w:r>
          </w:p>
        </w:tc>
        <w:tc>
          <w:tcPr>
            <w:vAlign w:val="center"/>
          </w:tcPr>
          <w:p>
            <w:r>
              <w:t xml:space="preserve">decreased slightly</w:t>
            </w:r>
          </w:p>
        </w:tc>
      </w:tr>
      <w:tr>
        <w:tc>
          <w:tcPr>
            <w:vAlign w:val="center"/>
          </w:tcPr>
          <w:p>
            <w:r>
              <w:t xml:space="preserve">2 or More Races                                                    </w:t>
            </w:r>
          </w:p>
        </w:tc>
        <w:tc>
          <w:tcPr>
            <w:vAlign w:val="center"/>
          </w:tcPr>
          <w:p>
            <w:r>
              <w:t xml:space="preserve">increased slightly</w:t>
            </w:r>
          </w:p>
        </w:tc>
      </w:tr>
    </w:tbl>
    <w:p>
      <w:pPr>
        <w:pStyle w:val="Heading2"/>
      </w:pPr>
      <w:r>
        <w:t xml:space="preserve">Summary</w:t>
      </w:r>
    </w:p>
    <w:p>
      <w:pPr>
        <w:pStyle w:val="Heading3"/>
      </w:pPr>
      <w:r>
        <w:t xml:space="preserve">Strengths</w:t>
      </w:r>
    </w:p>
    <w:p>
      <w:r>
        <w:t xml:space="preserve">Review the comments and notable observations listed previously and record the 2-5 strengths which have had the most impact in improving your most pressing challenges.</w:t>
      </w:r>
    </w:p>
    <w:tbl>
      <w:tblPr>
        <w:tblStyle w:val="TableGrid"/>
        <w:tblW w:w="5000" w:type="pct"/>
      </w:tblPr>
      <w:tblGrid>
        <w:gridCol/>
      </w:tblGrid>
      <w:tr>
        <w:tc>
          <w:tcPr>
            <w:tcW w:w="5000" w:type="pct"/>
            <w:vAlign w:val="center"/>
          </w:tcPr>
          <w:p>
            <w:r>
              <w:t xml:space="preserve">Economically disadvantaged population has remained high but steady over the past two years</w:t>
            </w:r>
          </w:p>
        </w:tc>
      </w:tr>
      <w:tr>
        <w:tc>
          <w:tcPr>
            <w:tcW w:w="5000" w:type="pct"/>
            <w:vAlign w:val="center"/>
          </w:tcPr>
          <w:p>
            <w:r>
              <w:t xml:space="preserve">EL population has remained low and steady</w:t>
            </w:r>
          </w:p>
        </w:tc>
      </w:tr>
      <w:tr>
        <w:tc>
          <w:tcPr>
            <w:tcW w:w="5000" w:type="pct"/>
            <w:vAlign w:val="center"/>
          </w:tcPr>
          <w:p>
            <w:r>
              <w:t xml:space="preserve">There has not been a large variation in the ethnicity percentages</w:t>
            </w:r>
          </w:p>
        </w:tc>
      </w:tr>
      <w:tr>
        <w:tc>
          <w:tcPr>
            <w:tcW w:w="5000" w:type="pct"/>
            <w:vAlign w:val="center"/>
          </w:tcPr>
          <w:p/>
        </w:tc>
      </w:tr>
      <w:tr>
        <w:tc>
          <w:tcPr>
            <w:tcW w:w="5000" w:type="pct"/>
            <w:vAlign w:val="center"/>
          </w:tcPr>
          <w:p/>
        </w:tc>
      </w:tr>
    </w:tbl>
    <w:p>
      <w:pPr>
        <w:pStyle w:val="Heading3"/>
      </w:pPr>
      <w:r>
        <w:t xml:space="preserve">Challenges</w:t>
      </w:r>
    </w:p>
    <w:p>
      <w:r>
        <w:t xml:space="preserve">Review the comments and notable observations listed previously and record the 2-5 Challenges which if improved would have the most impact in achieving your Mission and Vision.</w:t>
      </w:r>
    </w:p>
    <w:tbl>
      <w:tblPr>
        <w:tblStyle w:val="TableGrid"/>
        <w:tblW w:w="5000" w:type="pct"/>
      </w:tblPr>
      <w:tblGrid>
        <w:gridCol/>
      </w:tblGrid>
      <w:tr>
        <w:tc>
          <w:tcPr>
            <w:tcW w:w="5000" w:type="pct"/>
            <w:vAlign w:val="center"/>
          </w:tcPr>
          <w:p>
            <w:r>
              <w:t xml:space="preserve">Resources for economically disadvantaged populations</w:t>
            </w:r>
          </w:p>
        </w:tc>
      </w:tr>
      <w:tr>
        <w:tc>
          <w:tcPr>
            <w:tcW w:w="5000" w:type="pct"/>
            <w:vAlign w:val="center"/>
          </w:tcPr>
          <w:p>
            <w:r>
              <w:t xml:space="preserve">Instruction consistency (teacher retention, teacher Professional Development, curriculum review and usage)</w:t>
            </w:r>
          </w:p>
        </w:tc>
      </w:tr>
      <w:tr>
        <w:tc>
          <w:tcPr>
            <w:tcW w:w="5000" w:type="pct"/>
            <w:vAlign w:val="center"/>
          </w:tcPr>
          <w:p>
            <w:r>
              <w:t xml:space="preserve">Retention of student population from year to year (Montessori methods and learning)</w:t>
            </w:r>
          </w:p>
        </w:tc>
      </w:tr>
      <w:tr>
        <w:tc>
          <w:tcPr>
            <w:tcW w:w="5000" w:type="pct"/>
            <w:vAlign w:val="center"/>
          </w:tcPr>
          <w:p/>
        </w:tc>
      </w:tr>
      <w:tr>
        <w:tc>
          <w:tcPr>
            <w:tcW w:w="5000" w:type="pct"/>
            <w:vAlign w:val="center"/>
          </w:tcPr>
          <w:p/>
        </w:tc>
      </w:tr>
    </w:tbl>
    <w:p>
      <w:r>
        <w:br/>
      </w:r>
      <w:r>
        <w:br/>
      </w:r>
      <w:r>
        <w:br/>
      </w:r>
      <w:r>
        <w:br/>
      </w:r>
      <w:r>
        <w:br/>
      </w:r>
      <w:r>
        <w:br/>
      </w:r>
      <w:r>
        <w:br w:type="page"/>
      </w:r>
      <w:r>
        <w:lastRenderedPageBreak/>
      </w:r>
    </w:p>
    <w:p>
      <w:pPr>
        <w:pStyle w:val="Heading1"/>
      </w:pPr>
      <w:r>
        <w:t xml:space="preserve">Supplemental LEA Plans</w:t>
      </w:r>
    </w:p>
    <w:tbl>
      <w:tblPr>
        <w:tblStyle w:val="TableGrid"/>
        <w:tblW w:w="5000" w:type="pct"/>
      </w:tblPr>
      <w:tblGrid>
        <w:gridCol/>
        <w:gridCol/>
      </w:tblGrid>
      <w:tr>
        <w:tc>
          <w:tcPr>
            <w:vAlign w:val="center"/>
          </w:tcPr>
          <w:p>
            <w:r>
              <w:t xml:space="preserve">Programs and Plans</w:t>
            </w:r>
          </w:p>
        </w:tc>
        <w:tc>
          <w:tcPr>
            <w:vAlign w:val="center"/>
          </w:tcPr>
          <w:p>
            <w:r>
              <w:t xml:space="preserve">Comments/Notable Observations</w:t>
            </w:r>
          </w:p>
        </w:tc>
      </w:tr>
      <w:tr>
        <w:tc>
          <w:tcPr>
            <w:vAlign w:val="center"/>
          </w:tcPr>
          <w:p>
            <w:r>
              <w:t xml:space="preserve">Special Education Plan</w:t>
            </w:r>
          </w:p>
        </w:tc>
        <w:tc>
          <w:tcPr>
            <w:vAlign w:val="center"/>
          </w:tcPr>
          <w:p>
            <w:r>
              <w:t xml:space="preserve">Individualized and small-group supports may promote growth and progress
monitoring for learners.
Targeted supports increase access to instruction and skill-building. Grade-level assessment expectations may not align to instructional levels for
some students.
? Stamina, anxiety, and motivation challenges may be intensified.
? Need for continued alignment among accommodations and instructional
supports</w:t>
            </w:r>
          </w:p>
        </w:tc>
      </w:tr>
      <w:tr>
        <w:tc>
          <w:tcPr>
            <w:vAlign w:val="center"/>
          </w:tcPr>
          <w:p>
            <w:r>
              <w:t xml:space="preserve">Title 1 Program</w:t>
            </w:r>
          </w:p>
        </w:tc>
        <w:tc>
          <w:tcPr>
            <w:vAlign w:val="center"/>
          </w:tcPr>
          <w:p>
            <w:r>
              <w:t xml:space="preserve">Title supports, interventions, and access supports strengthen readiness and
support stability. Outcomes remain below the desired ELA and math targets.
Attendance and variability in home learning support impact instructional
continuity.
Existing systems provide meaningful equity supports to reduce barriers to
learning.</w:t>
            </w:r>
          </w:p>
        </w:tc>
      </w:tr>
      <w:tr>
        <w:tc>
          <w:tcPr>
            <w:vAlign w:val="center"/>
          </w:tcPr>
          <w:p>
            <w:r>
              <w:t xml:space="preserve">Student Services</w:t>
            </w:r>
          </w:p>
        </w:tc>
        <w:tc>
          <w:tcPr>
            <w:vAlign w:val="center"/>
          </w:tcPr>
          <w:p>
            <w:r>
              <w:t xml:space="preserve">N/A</w:t>
            </w:r>
          </w:p>
        </w:tc>
      </w:tr>
      <w:tr>
        <w:tc>
          <w:tcPr>
            <w:vAlign w:val="center"/>
          </w:tcPr>
          <w:p>
            <w:r>
              <w:t xml:space="preserve">K-12 Guidance Plan (339 Plan)</w:t>
            </w:r>
          </w:p>
        </w:tc>
        <w:tc>
          <w:tcPr>
            <w:vAlign w:val="center"/>
          </w:tcPr>
          <w:p>
            <w:r>
              <w:t xml:space="preserve">N/A</w:t>
            </w:r>
          </w:p>
        </w:tc>
      </w:tr>
      <w:tr>
        <w:tc>
          <w:tcPr>
            <w:vAlign w:val="center"/>
          </w:tcPr>
          <w:p>
            <w:r>
              <w:t xml:space="preserve">Technology Plan</w:t>
            </w:r>
          </w:p>
        </w:tc>
        <w:tc>
          <w:tcPr>
            <w:vAlign w:val="center"/>
          </w:tcPr>
          <w:p>
            <w:r>
              <w:t xml:space="preserve">N/A</w:t>
            </w:r>
          </w:p>
        </w:tc>
      </w:tr>
      <w:tr>
        <w:tc>
          <w:tcPr>
            <w:vAlign w:val="center"/>
          </w:tcPr>
          <w:p>
            <w:r>
              <w:t xml:space="preserve">English Language Development Programs</w:t>
            </w:r>
          </w:p>
        </w:tc>
        <w:tc>
          <w:tcPr>
            <w:vAlign w:val="center"/>
          </w:tcPr>
          <w:p>
            <w:r>
              <w:t xml:space="preserve">N/A</w:t>
            </w:r>
          </w:p>
        </w:tc>
      </w:tr>
    </w:tbl>
    <w:p>
      <w:pPr>
        <w:pStyle w:val="Heading3"/>
      </w:pPr>
      <w:r>
        <w:t xml:space="preserve">Strengths</w:t>
      </w:r>
    </w:p>
    <w:p>
      <w:r>
        <w:t xml:space="preserve">Review the comments and notable observations listed and record those which have had the most impact in improving your most pressing challenges.</w:t>
      </w:r>
    </w:p>
    <w:tbl>
      <w:tblPr>
        <w:tblStyle w:val="TableGrid"/>
        <w:tblW w:w="5000" w:type="pct"/>
      </w:tblPr>
      <w:tblGrid>
        <w:gridCol/>
      </w:tblGrid>
      <w:tr>
        <w:tc>
          <w:tcPr>
            <w:vAlign w:val="center"/>
          </w:tcPr>
          <w:p>
            <w:r>
              <w:t xml:space="preserve">Increased instructional time and improved scheduling structures for core academics.
The school increased instructional time for mathematics and improved scheduling structures to provide more consistent grade-level instruction.
This creates greater opportunity for targeted skill development, more frequent practice, and more effective intervention supports, especially for students with foundational skill gaps.</w:t>
            </w:r>
          </w:p>
        </w:tc>
      </w:tr>
      <w:tr>
        <w:tc>
          <w:tcPr>
            <w:vAlign w:val="center"/>
          </w:tcPr>
          <w:p>
            <w:r>
              <w:t xml:space="preserve">Curriculum development, alignment, and continued refinement across
subject areas
Gettysburg Montessori has developed written curriculum across core subject
areas and continues to refine and improve curriculum annually. The ongoing
curriculum work supports instructional consistency and alignment to state
standards. Curriculum work for the subject “writing” is planned for the
summer as part of continuing curriculum development and refinement.</w:t>
            </w:r>
          </w:p>
        </w:tc>
      </w:tr>
      <w:tr>
        <w:tc>
          <w:tcPr>
            <w:vAlign w:val="center"/>
          </w:tcPr>
          <w:p>
            <w:r>
              <w:t xml:space="preserve">Strong foundational literacy and writing supports in K–3
The school has implemented strong early literacy supports and structured
writing routines that strengthen foundational skills and increase student
willingness to attempt literacy tasks. These efforts build long-term readiness
for grade-level expectations and contribute to improved future performance
in ELA achievement and growth indicators.</w:t>
            </w:r>
          </w:p>
        </w:tc>
      </w:tr>
      <w:tr>
        <w:tc>
          <w:tcPr>
            <w:vAlign w:val="center"/>
          </w:tcPr>
          <w:p>
            <w:r>
              <w:t xml:space="preserve">Targeted support systems benefiting economically disadvantaged
students
The school maintains Title supports and intervention structures that provide
additional academic services and access supports (including supports such as
breakfast and learning resources). Economically disadvantaged student
performance has demonstrated relative strength in some historical Index
trends, indicating that these supports may serve as a strong leverage point for
future improvement and equity-focused growth.</w:t>
            </w:r>
          </w:p>
        </w:tc>
      </w:tr>
      <w:tr>
        <w:tc>
          <w:tcPr>
            <w:vAlign w:val="center"/>
          </w:tcPr>
          <w:p>
            <w:r>
              <w:t xml:space="preserve">Strengthened staffing and instructional capacity
Staffing improvements and strengthened instructional capacity in early
grades have contributed to stronger classroom routines and foundational
readiness. Early grade improvement reduces later remediation needs,
strengthens skill development over time, and supports sustained
improvement in achievement and growth.</w:t>
            </w:r>
          </w:p>
        </w:tc>
      </w:tr>
    </w:tbl>
    <w:p>
      <w:pPr>
        <w:pStyle w:val="Heading3"/>
      </w:pPr>
      <w:r>
        <w:t xml:space="preserve">Challenges</w:t>
      </w:r>
    </w:p>
    <w:p>
      <w:r>
        <w:t xml:space="preserve">Review the comments and notable observations listed previously and record the 2-5 challenges which if improved would have the most impact in achieving your Mission and Vision.</w:t>
      </w:r>
    </w:p>
    <w:tbl>
      <w:tblPr>
        <w:tblStyle w:val="TableGrid"/>
        <w:tblW w:w="5000" w:type="pct"/>
      </w:tblPr>
      <w:tblGrid>
        <w:gridCol/>
      </w:tblGrid>
      <w:tr>
        <w:tc>
          <w:tcPr>
            <w:vAlign w:val="center"/>
          </w:tcPr>
          <w:p>
            <w:r>
              <w:t xml:space="preserve">Student stamina, persistence, and effective test-taking behaviors
Students demonstrate reduced stamina for sustained reading, writing, and multi-step (written) problem solving. Students often struggle to persist
through academic tasks requiring evidence-based responses or extended
attention. Some students rush through assessments or disengage, which
negatively impacts proficiency and growth outcomes.</w:t>
            </w:r>
          </w:p>
        </w:tc>
      </w:tr>
      <w:tr>
        <w:tc>
          <w:tcPr>
            <w:vAlign w:val="center"/>
          </w:tcPr>
          <w:p>
            <w:r>
              <w:t xml:space="preserve">Motivation, academic buy-in, and student ownership of learning
Many students do not view academic performance and state assessments as meaningful, contributing to inconsistent effort, refusal behaviors, and low
engagement. Increased goal-setting routines, student conferences, progress
monitoring transparency, and consistent reinforcement of academic purpose
are needed to build ownership and improve performance.</w:t>
            </w:r>
          </w:p>
        </w:tc>
      </w:tr>
      <w:tr>
        <w:tc>
          <w:tcPr>
            <w:vAlign w:val="center"/>
          </w:tcPr>
          <w:p>
            <w:r>
              <w:t xml:space="preserve">Anxiety, perfectionism, and confidence are impacting academic performance
Staff observations indicate increased anxiety, fear of being wrong, and perfectionism, which can result in shutdown behaviors and reluctance to
attempt challenging tasks. These factors negatively impact persistence,
confidence, and assessment readiness.</w:t>
            </w:r>
          </w:p>
        </w:tc>
      </w:tr>
      <w:tr>
        <w:tc>
          <w:tcPr>
            <w:vAlign w:val="center"/>
          </w:tcPr>
          <w:p>
            <w:r>
              <w:t xml:space="preserve">Inconsistent assessment preparation practices and a limited process-based instruction
Some assessment preparation practices in 24/25 prioritized answers and completion rather than developing stamina, strategies, and the cognitive
processes required for success. Strengthening consistent process-based instruction, teaching test-taking skills, and evidence-based responding is necessary for improved performance and student independence.</w:t>
            </w:r>
          </w:p>
        </w:tc>
      </w:tr>
      <w:tr>
        <w:tc>
          <w:tcPr>
            <w:vAlign w:val="center"/>
          </w:tcPr>
          <w:p>
            <w:r>
              <w:t xml:space="preserve">Student mobility and transitions impacting readiness and continuity
High student mobility, including students enrolling after disruptions or entering significantly below grade level, creates challenges for maintaining
consistent readiness and pacing. Systems for rapid diagnostic screening, onboarding supports, and accelerated foundational skill interventions are
needed to reduce the impact of mobility on achievement and growth outcomes.</w:t>
            </w:r>
          </w:p>
        </w:tc>
      </w:tr>
    </w:tbl>
    <w:p>
      <w:r>
        <w:br/>
      </w:r>
      <w:r>
        <w:br/>
      </w:r>
      <w:r>
        <w:br/>
      </w:r>
      <w:r>
        <w:br/>
      </w:r>
      <w:r>
        <w:br/>
      </w:r>
      <w:r>
        <w:br/>
      </w:r>
      <w:r>
        <w:br w:type="page"/>
      </w:r>
      <w:r>
        <w:lastRenderedPageBreak/>
      </w:r>
    </w:p>
    <w:p>
      <w:pPr>
        <w:pStyle w:val="Heading1"/>
      </w:pPr>
      <w:r>
        <w:t xml:space="preserve">Conditions for Leadership, Teaching, and Learning</w:t>
      </w:r>
    </w:p>
    <w:p>
      <w:pPr>
        <w:pStyle w:val="Heading2"/>
      </w:pPr>
      <w:r>
        <w:t xml:space="preserve">Focus on Continuous improvement of Instruction</w:t>
      </w:r>
    </w:p>
    <w:tbl>
      <w:tblPr>
        <w:tblStyle w:val="TableGrid"/>
        <w:tblW w:w="5000" w:type="pct"/>
      </w:tblPr>
      <w:tblGrid>
        <w:gridCol/>
        <w:gridCol/>
      </w:tblGrid>
      <w:tr>
        <w:tc>
          <w:tcPr>
            <w:tcW w:w="4000" w:type="pct"/>
            <w:vAlign w:val="center"/>
          </w:tcPr>
          <w:p>
            <w:r>
              <w:t xml:space="preserve">Align curricular materials and lesson plans to the PA Standards</w:t>
            </w:r>
          </w:p>
        </w:tc>
        <w:tc>
          <w:tcPr>
            <w:vAlign w:val="center"/>
          </w:tcPr>
          <w:p>
            <w:r>
              <w:t xml:space="preserve">Operational</w:t>
            </w:r>
          </w:p>
        </w:tc>
      </w:tr>
      <w:tr>
        <w:tc>
          <w:tcPr>
            <w:tcW w:w="4000" w:type="pct"/>
            <w:vAlign w:val="center"/>
          </w:tcPr>
          <w:p>
            <w:r>
              <w:t xml:space="preserve">Use systematic, collaborative planning processes to ensure instruction is coordinated, aligned, and evidence-based</w:t>
            </w:r>
          </w:p>
        </w:tc>
        <w:tc>
          <w:tcPr>
            <w:vAlign w:val="center"/>
          </w:tcPr>
          <w:p>
            <w:r>
              <w:t xml:space="preserve">Operational</w:t>
            </w:r>
          </w:p>
        </w:tc>
      </w:tr>
      <w:tr>
        <w:tc>
          <w:tcPr>
            <w:tcW w:w="4000" w:type="pct"/>
            <w:vAlign w:val="center"/>
          </w:tcPr>
          <w:p>
            <w:r>
              <w:t xml:space="preserve">Use a variety of assessments (including diagnostic, formative, and summative) to monitor student learning and adjust programs and instructional practices</w:t>
            </w:r>
          </w:p>
        </w:tc>
        <w:tc>
          <w:tcPr>
            <w:vAlign w:val="center"/>
          </w:tcPr>
          <w:p>
            <w:r>
              <w:t xml:space="preserve">Emerging</w:t>
            </w:r>
          </w:p>
        </w:tc>
      </w:tr>
      <w:tr>
        <w:tc>
          <w:tcPr>
            <w:tcW w:w="4000" w:type="pct"/>
            <w:vAlign w:val="center"/>
          </w:tcPr>
          <w:p>
            <w:r>
              <w:t xml:space="preserve">Identify and address individual student learning needs</w:t>
            </w:r>
          </w:p>
        </w:tc>
        <w:tc>
          <w:tcPr>
            <w:vAlign w:val="center"/>
          </w:tcPr>
          <w:p>
            <w:r>
              <w:t xml:space="preserve">Exemplary</w:t>
            </w:r>
          </w:p>
        </w:tc>
      </w:tr>
      <w:tr>
        <w:tc>
          <w:tcPr>
            <w:tcW w:w="4000" w:type="pct"/>
            <w:vAlign w:val="center"/>
          </w:tcPr>
          <w:p>
            <w:r>
              <w:t xml:space="preserve">Provide frequent, timely, and systematic feedback and support on instructional practices</w:t>
            </w:r>
          </w:p>
        </w:tc>
        <w:tc>
          <w:tcPr>
            <w:vAlign w:val="center"/>
          </w:tcPr>
          <w:p>
            <w:r>
              <w:t xml:space="preserve">Operational</w:t>
            </w:r>
          </w:p>
        </w:tc>
      </w:tr>
    </w:tbl>
    <w:p>
      <w:pPr>
        <w:pStyle w:val="Heading2"/>
      </w:pPr>
      <w:r>
        <w:t xml:space="preserve">Empower Leadership</w:t>
      </w:r>
    </w:p>
    <w:tbl>
      <w:tblPr>
        <w:tblStyle w:val="TableGrid"/>
        <w:tblW w:w="5000" w:type="pct"/>
      </w:tblPr>
      <w:tblGrid>
        <w:gridCol/>
        <w:gridCol/>
      </w:tblGrid>
      <w:tr>
        <w:tc>
          <w:tcPr>
            <w:tcW w:w="4000" w:type="pct"/>
            <w:vAlign w:val="center"/>
          </w:tcPr>
          <w:p>
            <w:r>
              <w:t xml:space="preserve">Foster a culture of high expectations for success for all students, educators, families, and community members</w:t>
            </w:r>
          </w:p>
        </w:tc>
        <w:tc>
          <w:tcPr>
            <w:vAlign w:val="center"/>
          </w:tcPr>
          <w:p>
            <w:r>
              <w:t xml:space="preserve">Operational</w:t>
            </w:r>
          </w:p>
        </w:tc>
      </w:tr>
      <w:tr>
        <w:tc>
          <w:tcPr>
            <w:tcW w:w="4000" w:type="pct"/>
            <w:vAlign w:val="center"/>
          </w:tcPr>
          <w:p>
            <w:r>
              <w:t xml:space="preserve">Collectively shape the vision for continuous improvement of teaching and learning</w:t>
            </w:r>
          </w:p>
        </w:tc>
        <w:tc>
          <w:tcPr>
            <w:vAlign w:val="center"/>
          </w:tcPr>
          <w:p>
            <w:r>
              <w:t xml:space="preserve">Exemplary</w:t>
            </w:r>
          </w:p>
        </w:tc>
      </w:tr>
      <w:tr>
        <w:tc>
          <w:tcPr>
            <w:tcW w:w="4000" w:type="pct"/>
            <w:vAlign w:val="center"/>
          </w:tcPr>
          <w:p>
            <w:r>
              <w:t xml:space="preserve">Build leadership capacity and empower staff in the development and successful implementation of initiatives that better serve students, staff, and the school</w:t>
            </w:r>
          </w:p>
        </w:tc>
        <w:tc>
          <w:tcPr>
            <w:vAlign w:val="center"/>
          </w:tcPr>
          <w:p>
            <w:r>
              <w:t xml:space="preserve">Exemplary</w:t>
            </w:r>
          </w:p>
        </w:tc>
      </w:tr>
      <w:tr>
        <w:tc>
          <w:tcPr>
            <w:tcW w:w="4000" w:type="pct"/>
            <w:vAlign w:val="center"/>
          </w:tcPr>
          <w:p>
            <w:r>
              <w:t xml:space="preserve">Organize programmatic, human, and fiscal capital resources aligned with the school improvement plan and needs of the school community</w:t>
            </w:r>
          </w:p>
        </w:tc>
        <w:tc>
          <w:tcPr>
            <w:vAlign w:val="center"/>
          </w:tcPr>
          <w:p>
            <w:r>
              <w:t xml:space="preserve">Exemplary</w:t>
            </w:r>
          </w:p>
        </w:tc>
      </w:tr>
      <w:tr>
        <w:tc>
          <w:tcPr>
            <w:tcW w:w="4000" w:type="pct"/>
            <w:vAlign w:val="center"/>
          </w:tcPr>
          <w:p>
            <w:r>
              <w:t xml:space="preserve">Continuously monitor implementation of the school improvement plan and adjust as needed</w:t>
            </w:r>
          </w:p>
        </w:tc>
        <w:tc>
          <w:tcPr>
            <w:vAlign w:val="center"/>
          </w:tcPr>
          <w:p>
            <w:r>
              <w:t xml:space="preserve">Exemplary</w:t>
            </w:r>
          </w:p>
        </w:tc>
      </w:tr>
    </w:tbl>
    <w:p>
      <w:pPr>
        <w:pStyle w:val="Heading2"/>
      </w:pPr>
      <w:r>
        <w:t xml:space="preserve">Provide Student-Centered Support Systems</w:t>
      </w:r>
    </w:p>
    <w:tbl>
      <w:tblPr>
        <w:tblStyle w:val="TableGrid"/>
        <w:tblW w:w="5000" w:type="pct"/>
      </w:tblPr>
      <w:tblGrid>
        <w:gridCol/>
        <w:gridCol/>
      </w:tblGrid>
      <w:tr>
        <w:tc>
          <w:tcPr>
            <w:tcW w:w="4000" w:type="pct"/>
            <w:vAlign w:val="center"/>
          </w:tcPr>
          <w:p>
            <w:r>
              <w:t xml:space="preserve">Promote and sustain a positive school environment where all members feel welcomed, supported, and safe in school: socially, emotionally, intellectually and physically</w:t>
            </w:r>
          </w:p>
        </w:tc>
        <w:tc>
          <w:tcPr>
            <w:vAlign w:val="center"/>
          </w:tcPr>
          <w:p>
            <w:r>
              <w:t xml:space="preserve">Exemplary</w:t>
            </w:r>
          </w:p>
        </w:tc>
      </w:tr>
      <w:tr>
        <w:tc>
          <w:tcPr>
            <w:tcW w:w="4000" w:type="pct"/>
            <w:vAlign w:val="center"/>
          </w:tcPr>
          <w:p>
            <w:r>
              <w:t xml:space="preserve">Implement an evidence-based system of schoolwide positive behavior interventions and supports</w:t>
            </w:r>
          </w:p>
        </w:tc>
        <w:tc>
          <w:tcPr>
            <w:vAlign w:val="center"/>
          </w:tcPr>
          <w:p>
            <w:r>
              <w:t xml:space="preserve">Exemplary</w:t>
            </w:r>
          </w:p>
        </w:tc>
      </w:tr>
      <w:tr>
        <w:tc>
          <w:tcPr>
            <w:tcW w:w="4000" w:type="pct"/>
            <w:vAlign w:val="center"/>
          </w:tcPr>
          <w:p>
            <w:r>
              <w:t xml:space="preserve">Implement a multi-tiered system of supports for academics and behavior</w:t>
            </w:r>
          </w:p>
        </w:tc>
        <w:tc>
          <w:tcPr>
            <w:vAlign w:val="center"/>
          </w:tcPr>
          <w:p>
            <w:r>
              <w:t xml:space="preserve">Exemplary</w:t>
            </w:r>
          </w:p>
        </w:tc>
      </w:tr>
      <w:tr>
        <w:tc>
          <w:tcPr>
            <w:tcW w:w="4000" w:type="pct"/>
            <w:vAlign w:val="center"/>
          </w:tcPr>
          <w:p>
            <w:r>
              <w:t xml:space="preserve">Implement evidence-based strategies to engage families to support learning</w:t>
            </w:r>
          </w:p>
        </w:tc>
        <w:tc>
          <w:tcPr>
            <w:vAlign w:val="center"/>
          </w:tcPr>
          <w:p>
            <w:r>
              <w:t xml:space="preserve">Exemplary</w:t>
            </w:r>
          </w:p>
        </w:tc>
      </w:tr>
      <w:tr>
        <w:tc>
          <w:tcPr>
            <w:tcW w:w="4000" w:type="pct"/>
            <w:vAlign w:val="center"/>
          </w:tcPr>
          <w:p>
            <w:r>
              <w:t xml:space="preserve">Partner with local businesses, community organizations, and other agencies to meet the needs of the school</w:t>
            </w:r>
          </w:p>
        </w:tc>
        <w:tc>
          <w:tcPr>
            <w:vAlign w:val="center"/>
          </w:tcPr>
          <w:p>
            <w:r>
              <w:t xml:space="preserve">Exemplary</w:t>
            </w:r>
          </w:p>
        </w:tc>
      </w:tr>
    </w:tbl>
    <w:p>
      <w:pPr>
        <w:pStyle w:val="Heading2"/>
      </w:pPr>
      <w:r>
        <w:t xml:space="preserve">Foster Quality Professional Learning</w:t>
      </w:r>
    </w:p>
    <w:tbl>
      <w:tblPr>
        <w:tblStyle w:val="TableGrid"/>
        <w:tblW w:w="5000" w:type="pct"/>
      </w:tblPr>
      <w:tblGrid>
        <w:gridCol/>
        <w:gridCol/>
      </w:tblGrid>
      <w:tr>
        <w:tc>
          <w:tcPr>
            <w:tcW w:w="4000" w:type="pct"/>
            <w:vAlign w:val="center"/>
          </w:tcPr>
          <w:p>
            <w:r>
              <w:t xml:space="preserve">Identify professional learning needs through analysis of a variety of data</w:t>
            </w:r>
          </w:p>
        </w:tc>
        <w:tc>
          <w:tcPr>
            <w:vAlign w:val="center"/>
          </w:tcPr>
          <w:p>
            <w:r>
              <w:t xml:space="preserve">Exemplary</w:t>
            </w:r>
          </w:p>
        </w:tc>
      </w:tr>
      <w:tr>
        <w:tc>
          <w:tcPr>
            <w:tcW w:w="4000" w:type="pct"/>
            <w:vAlign w:val="center"/>
          </w:tcPr>
          <w:p>
            <w:r>
              <w:t xml:space="preserve">Use multiple professional learning designs to support the learning needs of staff</w:t>
            </w:r>
          </w:p>
        </w:tc>
        <w:tc>
          <w:tcPr>
            <w:vAlign w:val="center"/>
          </w:tcPr>
          <w:p>
            <w:r>
              <w:t xml:space="preserve">Exemplary</w:t>
            </w:r>
          </w:p>
        </w:tc>
      </w:tr>
      <w:tr>
        <w:tc>
          <w:tcPr>
            <w:tcW w:w="4000" w:type="pct"/>
            <w:vAlign w:val="center"/>
          </w:tcPr>
          <w:p>
            <w:r>
              <w:t xml:space="preserve">Monitor and evaluate the impact of professional learning on staff practices and student learning</w:t>
            </w:r>
          </w:p>
        </w:tc>
        <w:tc>
          <w:tcPr>
            <w:vAlign w:val="center"/>
          </w:tcPr>
          <w:p>
            <w:r>
              <w:t xml:space="preserve">Operational</w:t>
            </w:r>
          </w:p>
        </w:tc>
      </w:tr>
    </w:tbl>
    <w:p>
      <w:pPr>
        <w:pStyle w:val="Heading2"/>
      </w:pPr>
      <w:r>
        <w:t xml:space="preserve">Summary</w:t>
      </w:r>
    </w:p>
    <w:p>
      <w:pPr>
        <w:pStyle w:val="Heading3"/>
      </w:pPr>
      <w:r>
        <w:t xml:space="preserve">Strengths</w:t>
      </w:r>
    </w:p>
    <w:p>
      <w:r>
        <w:t xml:space="preserve">Which Essential Practices are currently Operational or Exemplary and could be leveraged in your efforts to improve upon your most pressing challenges?</w:t>
      </w:r>
    </w:p>
    <w:tbl>
      <w:tblPr>
        <w:tblStyle w:val="TableGrid"/>
        <w:tblW w:w="5000" w:type="pct"/>
      </w:tblPr>
      <w:tblGrid>
        <w:gridCol/>
      </w:tblGrid>
      <w:tr>
        <w:tc>
          <w:tcPr>
            <w:vAlign w:val="center"/>
          </w:tcPr>
          <w:p>
            <w:r>
              <w:t xml:space="preserve">Identify and address individual student learning needs</w:t>
            </w:r>
          </w:p>
        </w:tc>
      </w:tr>
      <w:tr>
        <w:tc>
          <w:tcPr>
            <w:vAlign w:val="center"/>
          </w:tcPr>
          <w:p>
            <w:r>
              <w:t xml:space="preserve">Provide frequent, timely, and systematic feedback and support on instructional practices</w:t>
            </w:r>
          </w:p>
        </w:tc>
      </w:tr>
      <w:tr>
        <w:tc>
          <w:tcPr>
            <w:vAlign w:val="center"/>
          </w:tcPr>
          <w:p>
            <w:r>
              <w:t xml:space="preserve">Foster a culture of high expectations for success for all students, educators, families, and community members</w:t>
            </w:r>
          </w:p>
        </w:tc>
      </w:tr>
      <w:tr>
        <w:tc>
          <w:tcPr>
            <w:vAlign w:val="center"/>
          </w:tcPr>
          <w:p>
            <w:r>
              <w:t xml:space="preserve">Implement a multi-tiered system of supports for academics and behavior.</w:t>
            </w:r>
          </w:p>
        </w:tc>
      </w:tr>
      <w:tr>
        <w:tc>
          <w:tcPr>
            <w:vAlign w:val="center"/>
          </w:tcPr>
          <w:p>
            <w:r>
              <w:t xml:space="preserve">Monitor and evaluate the impact of professional learning on staff practices and student learning</w:t>
            </w:r>
          </w:p>
        </w:tc>
      </w:tr>
    </w:tbl>
    <w:p>
      <w:pPr>
        <w:pStyle w:val="Heading3"/>
      </w:pPr>
      <w:r>
        <w:t xml:space="preserve">Challenges</w:t>
      </w:r>
    </w:p>
    <w:p>
      <w:r>
        <w:t xml:space="preserve">Thinking about all the most pressing challenges identified in the previous sections, which of the Essential Practices that are currently Not Yet Evident or Emerging, if improved, would greatly impact your progress in achieving your mission, vision and Future Ready PA Index interim targets in State Assessment Measures, On-Track Measures, or College and Career Measures?</w:t>
      </w:r>
    </w:p>
    <w:tbl>
      <w:tblPr>
        <w:tblStyle w:val="TableGrid"/>
        <w:tblW w:w="5000" w:type="pct"/>
      </w:tblPr>
      <w:tblGrid>
        <w:gridCol/>
      </w:tblGrid>
      <w:tr>
        <w:tc>
          <w:tcPr>
            <w:vAlign w:val="center"/>
          </w:tcPr>
          <w:p>
            <w:r>
              <w:t xml:space="preserve">Use a variety of assessments (including diagnostic, formative, and summative) to monitor student learning and adjust programs and instructional practices *</w:t>
            </w:r>
          </w:p>
        </w:tc>
      </w:tr>
    </w:tbl>
    <w:p>
      <w:r>
        <w:br/>
      </w:r>
      <w:r>
        <w:br/>
      </w:r>
      <w:r>
        <w:br/>
      </w:r>
      <w:r>
        <w:br/>
      </w:r>
      <w:r>
        <w:br/>
      </w:r>
      <w:r>
        <w:br/>
      </w:r>
      <w:r>
        <w:br w:type="page"/>
      </w:r>
      <w:r>
        <w:lastRenderedPageBreak/>
      </w:r>
    </w:p>
    <w:p>
      <w:pPr>
        <w:pStyle w:val="Heading1"/>
      </w:pPr>
      <w:r>
        <w:t xml:space="preserve">Summary of Strengths and Challenges from the Needs Assessment</w:t>
      </w:r>
    </w:p>
    <w:p>
      <w:pPr>
        <w:pStyle w:val="Heading2"/>
      </w:pPr>
      <w:r>
        <w:t xml:space="preserve">Strengths</w:t>
      </w:r>
    </w:p>
    <w:p>
      <w:r>
        <w:t xml:space="preserve">Examine the Summary of Strengths. Identify the strengths that are most positively contributing to achievement of your mission and vision. Check the box to the right of these identified strength(s).</w:t>
      </w:r>
    </w:p>
    <w:tbl>
      <w:tblPr>
        <w:tblStyle w:val="TableGrid"/>
        <w:tblW w:w="5000" w:type="pct"/>
      </w:tblPr>
      <w:tblGrid>
        <w:gridCol/>
        <w:gridCol/>
      </w:tblGrid>
      <w:tr>
        <w:tc>
          <w:tcPr>
            <w:tcW w:w="4000" w:type="pct"/>
            <w:vAlign w:val="center"/>
          </w:tcPr>
          <w:p>
            <w:r>
              <w:t xml:space="preserve">Strength</w:t>
            </w:r>
          </w:p>
        </w:tc>
        <w:tc>
          <w:tcPr>
            <w:vAlign w:val="center"/>
          </w:tcPr>
          <w:p>
            <w:r>
              <w:t xml:space="preserve">Check for Consideration in Plan</w:t>
            </w:r>
          </w:p>
        </w:tc>
      </w:tr>
      <w:tr>
        <w:tc>
          <w:tcPr>
            <w:vAlign w:val="center"/>
          </w:tcPr>
          <w:p>
            <w:r>
              <w:t xml:space="preserve">Increased instructional time and improved scheduling structures for core academics. 
The school increased instructional time for mathematics and improved scheduling structures to provide more consistent grade-level instruction. This creates greater opportunity for targeted skill development, more frequent practice, and more effective intervention supports, especially for students with foundational skill gaps.</w:t>
            </w:r>
          </w:p>
        </w:tc>
        <w:tc>
          <w:tcPr>
            <w:vAlign w:val="center"/>
          </w:tcPr>
          <w:p>
            <w:r>
              <w:t xml:space="preserve">True</w:t>
            </w:r>
          </w:p>
        </w:tc>
      </w:tr>
      <w:tr>
        <w:tc>
          <w:tcPr>
            <w:vAlign w:val="center"/>
          </w:tcPr>
          <w:p>
            <w:r>
              <w:t xml:space="preserve">Curriculum development, alignment, and continued refinement across subject areas
Gettysburg Montessori has developed written curriculum across core subject areas and continues to refine and improve curriculum annually. The ongoing curriculum work supports instructional consistency and alignment to state standards. Curriculum work for the subject “writing” is planned for the
summer as part of continuing curriculum development and refinement.</w:t>
            </w:r>
          </w:p>
        </w:tc>
        <w:tc>
          <w:tcPr>
            <w:vAlign w:val="center"/>
          </w:tcPr>
          <w:p>
            <w:r>
              <w:t xml:space="preserve">True</w:t>
            </w:r>
          </w:p>
        </w:tc>
      </w:tr>
      <w:tr>
        <w:tc>
          <w:tcPr>
            <w:vAlign w:val="center"/>
          </w:tcPr>
          <w:p>
            <w:r>
              <w:t xml:space="preserve">Strong foundational literacy and writing supports in K–3 
The school has implemented strong early literacy supports and structured
writing routines that strengthen foundational skills and increase student willingness to attempt literacy tasks. These efforts build long-term readiness for grade-level expectations and contribute to improved future performance in ELA achievement and growth indicators.</w:t>
            </w:r>
          </w:p>
        </w:tc>
        <w:tc>
          <w:tcPr>
            <w:vAlign w:val="center"/>
          </w:tcPr>
          <w:p>
            <w:r>
              <w:t xml:space="preserve">False</w:t>
            </w:r>
          </w:p>
        </w:tc>
      </w:tr>
      <w:tr>
        <w:tc>
          <w:tcPr>
            <w:vAlign w:val="center"/>
          </w:tcPr>
          <w:p>
            <w:r>
              <w:t xml:space="preserve">Overall, strong CDT scores predict success across all grades.
</w:t>
            </w:r>
          </w:p>
        </w:tc>
        <w:tc>
          <w:tcPr>
            <w:vAlign w:val="center"/>
          </w:tcPr>
          <w:p>
            <w:r>
              <w:t xml:space="preserve">False</w:t>
            </w:r>
          </w:p>
        </w:tc>
      </w:tr>
      <w:tr>
        <w:tc>
          <w:tcPr>
            <w:vAlign w:val="center"/>
          </w:tcPr>
          <w:p>
            <w:r>
              <w:t xml:space="preserve">CDT beginning-of-year data indicate that English Language Arts (ELA) is an area of strength across grade levels.
CDT beginning-of-year data indicates that English Language Arts (ELA) and Science are areas of strength across grade levels.
CDT beginning-of-year data indicates that English Language Arts (ELA) and Science are areas of strength across grade levels.
</w:t>
            </w:r>
          </w:p>
        </w:tc>
        <w:tc>
          <w:tcPr>
            <w:vAlign w:val="center"/>
          </w:tcPr>
          <w:p>
            <w:r>
              <w:t xml:space="preserve">False</w:t>
            </w:r>
          </w:p>
        </w:tc>
      </w:tr>
      <w:tr>
        <w:tc>
          <w:tcPr>
            <w:vAlign w:val="center"/>
          </w:tcPr>
          <w:p>
            <w:r>
              <w:t xml:space="preserve">Targeted support systems benefiting economically disadvantaged students
The school maintains Title supports and intervention structures that provide additional academic services and access supports (including supports such as breakfast and learning resources). Economically disadvantaged student performance has demonstrated  relative strength in some historical Index
trends, indicating that these supports may serve as a strong leverage point for
future improvement and equity-focused growth.</w:t>
            </w:r>
          </w:p>
        </w:tc>
        <w:tc>
          <w:tcPr>
            <w:vAlign w:val="center"/>
          </w:tcPr>
          <w:p>
            <w:r>
              <w:t xml:space="preserve">True</w:t>
            </w:r>
          </w:p>
        </w:tc>
      </w:tr>
      <w:tr>
        <w:tc>
          <w:tcPr>
            <w:vAlign w:val="center"/>
          </w:tcPr>
          <w:p>
            <w:r>
              <w:t xml:space="preserve">Strengthened staffing and instructional capacity
Staffing improvements and strengthened instructional capacity in early grades have contributed to stronger classroom routines and foundational readiness. Early grade improvement reduces later remediation needs, strengthens skill development over time, and supports sustained improvement in achievement and growth.</w:t>
            </w:r>
          </w:p>
        </w:tc>
        <w:tc>
          <w:tcPr>
            <w:vAlign w:val="center"/>
          </w:tcPr>
          <w:p>
            <w:r>
              <w:t xml:space="preserve">True</w:t>
            </w:r>
          </w:p>
        </w:tc>
      </w:tr>
      <w:tr>
        <w:tc>
          <w:tcPr>
            <w:vAlign w:val="center"/>
          </w:tcPr>
          <w:p>
            <w:r>
              <w:t xml:space="preserve"> Life Science; strong performance across all content areas</w:t>
            </w:r>
          </w:p>
        </w:tc>
        <w:tc>
          <w:tcPr>
            <w:vAlign w:val="center"/>
          </w:tcPr>
          <w:p>
            <w:r>
              <w:t xml:space="preserve">False</w:t>
            </w:r>
          </w:p>
        </w:tc>
      </w:tr>
      <w:tr>
        <w:tc>
          <w:tcPr>
            <w:vAlign w:val="center"/>
          </w:tcPr>
          <w:p>
            <w:r>
              <w:t xml:space="preserve">Acadience: Phoneme segmentation: Strong growth in kindergarten (middle and end) and beginning of first grade. Growth has been consistent from 2021–2025. Students generally retain this skill, except for the impact of move-ins.
 • Nonsense word fluency: Kindergarten shows strong retention.
 </w:t>
            </w:r>
          </w:p>
        </w:tc>
        <w:tc>
          <w:tcPr>
            <w:vAlign w:val="center"/>
          </w:tcPr>
          <w:p>
            <w:r>
              <w:t xml:space="preserve">False</w:t>
            </w:r>
          </w:p>
        </w:tc>
      </w:tr>
      <w:tr>
        <w:tc>
          <w:tcPr>
            <w:vAlign w:val="center"/>
          </w:tcPr>
          <w:p>
            <w:r>
              <w:t xml:space="preserve">CDT: Students were strongest in Measurement, Data, and Probability; Geometry
</w:t>
            </w:r>
          </w:p>
        </w:tc>
        <w:tc>
          <w:tcPr>
            <w:vAlign w:val="center"/>
          </w:tcPr>
          <w:p>
            <w:r>
              <w:t xml:space="preserve">False</w:t>
            </w:r>
          </w:p>
        </w:tc>
      </w:tr>
      <w:tr>
        <w:tc>
          <w:tcPr>
            <w:vAlign w:val="center"/>
          </w:tcPr>
          <w:p>
            <w:r>
              <w:t xml:space="preserve">We have new staff who are embracing their roles as teachers who want their students to learn and succeed.</w:t>
            </w:r>
          </w:p>
        </w:tc>
        <w:tc>
          <w:tcPr>
            <w:vAlign w:val="center"/>
          </w:tcPr>
          <w:p>
            <w:r>
              <w:t xml:space="preserve">True</w:t>
            </w:r>
          </w:p>
        </w:tc>
      </w:tr>
      <w:tr>
        <w:tc>
          <w:tcPr>
            <w:vAlign w:val="center"/>
          </w:tcPr>
          <w:p>
            <w:r>
              <w:t xml:space="preserve"> Reading fluency: By grades 5 and 6, students are reading fluently.
 • Accuracy: Students in grades 5 and 6 read with strong oral reading accuracy. The preference is for students to read more slowly and comprehend rather than read quickly with errors.
</w:t>
            </w:r>
          </w:p>
        </w:tc>
        <w:tc>
          <w:tcPr>
            <w:vAlign w:val="center"/>
          </w:tcPr>
          <w:p>
            <w:r>
              <w:t xml:space="preserve">False</w:t>
            </w:r>
          </w:p>
        </w:tc>
      </w:tr>
      <w:tr>
        <w:tc>
          <w:tcPr>
            <w:vAlign w:val="center"/>
          </w:tcPr>
          <w:p>
            <w:r>
              <w:t xml:space="preserve">A strong mentoring program that has already contributed to improved test scores among newer staff
</w:t>
            </w:r>
          </w:p>
        </w:tc>
        <w:tc>
          <w:tcPr>
            <w:vAlign w:val="center"/>
          </w:tcPr>
          <w:p>
            <w:r>
              <w:t xml:space="preserve">True</w:t>
            </w:r>
          </w:p>
        </w:tc>
      </w:tr>
      <w:tr>
        <w:tc>
          <w:tcPr>
            <w:vAlign w:val="center"/>
          </w:tcPr>
          <w:p>
            <w:r>
              <w:t xml:space="preserve"> Fully implemented curriculum</w:t>
            </w:r>
          </w:p>
        </w:tc>
        <w:tc>
          <w:tcPr>
            <w:vAlign w:val="center"/>
          </w:tcPr>
          <w:p>
            <w:r>
              <w:t xml:space="preserve">True</w:t>
            </w:r>
          </w:p>
        </w:tc>
      </w:tr>
      <w:tr>
        <w:tc>
          <w:tcPr>
            <w:vAlign w:val="center"/>
          </w:tcPr>
          <w:p>
            <w:r>
              <w:t xml:space="preserve"> • At the beginning of the year, many fifth graders scored in green and blue on CDT (levels typically expected at the end of the year)
 • Strength in Earth and Space Science for fifth grade</w:t>
            </w:r>
          </w:p>
        </w:tc>
        <w:tc>
          <w:tcPr>
            <w:vAlign w:val="center"/>
          </w:tcPr>
          <w:p>
            <w:r>
              <w:t xml:space="preserve">False</w:t>
            </w:r>
          </w:p>
        </w:tc>
      </w:tr>
      <w:tr>
        <w:tc>
          <w:tcPr>
            <w:vAlign w:val="center"/>
          </w:tcPr>
          <w:p>
            <w:r>
              <w:t xml:space="preserve">Enrichment opportunities provided during WIN</w:t>
            </w:r>
          </w:p>
        </w:tc>
        <w:tc>
          <w:tcPr>
            <w:vAlign w:val="center"/>
          </w:tcPr>
          <w:p>
            <w:r>
              <w:t xml:space="preserve">True</w:t>
            </w:r>
          </w:p>
        </w:tc>
      </w:tr>
      <w:tr>
        <w:tc>
          <w:tcPr>
            <w:vAlign w:val="center"/>
          </w:tcPr>
          <w:p>
            <w:r>
              <w:t xml:space="preserve"> New STEELS standards are embedded into the updated curriculum</w:t>
            </w:r>
          </w:p>
        </w:tc>
        <w:tc>
          <w:tcPr>
            <w:vAlign w:val="center"/>
          </w:tcPr>
          <w:p>
            <w:r>
              <w:t xml:space="preserve">False</w:t>
            </w:r>
          </w:p>
        </w:tc>
      </w:tr>
      <w:tr>
        <w:tc>
          <w:tcPr>
            <w:vAlign w:val="center"/>
          </w:tcPr>
          <w:p>
            <w:r>
              <w:t xml:space="preserve">Economically disadvantaged population has remained high but steady over the past two years</w:t>
            </w:r>
          </w:p>
        </w:tc>
        <w:tc>
          <w:tcPr>
            <w:vAlign w:val="center"/>
          </w:tcPr>
          <w:p>
            <w:r>
              <w:t xml:space="preserve">False</w:t>
            </w:r>
          </w:p>
        </w:tc>
      </w:tr>
      <w:tr>
        <w:tc>
          <w:tcPr>
            <w:vAlign w:val="center"/>
          </w:tcPr>
          <w:p>
            <w:r>
              <w:t xml:space="preserve">EL population has remained low and steady</w:t>
            </w:r>
          </w:p>
        </w:tc>
        <w:tc>
          <w:tcPr>
            <w:vAlign w:val="center"/>
          </w:tcPr>
          <w:p>
            <w:r>
              <w:t xml:space="preserve">False</w:t>
            </w:r>
          </w:p>
        </w:tc>
      </w:tr>
      <w:tr>
        <w:tc>
          <w:tcPr>
            <w:vAlign w:val="center"/>
          </w:tcPr>
          <w:p>
            <w:r>
              <w:t xml:space="preserve">There has not been a large variation in the ethnicity percentages</w:t>
            </w:r>
          </w:p>
        </w:tc>
        <w:tc>
          <w:tcPr>
            <w:vAlign w:val="center"/>
          </w:tcPr>
          <w:p>
            <w:r>
              <w:t xml:space="preserve">False</w:t>
            </w:r>
          </w:p>
        </w:tc>
      </w:tr>
      <w:tr>
        <w:tc>
          <w:tcPr>
            <w:vAlign w:val="center"/>
          </w:tcPr>
          <w:p>
            <w:r>
              <w:t xml:space="preserve">Our school only consists of K-6 and a smaller portion of our population is being reported for career readiness. </w:t>
            </w:r>
          </w:p>
        </w:tc>
        <w:tc>
          <w:tcPr>
            <w:vAlign w:val="center"/>
          </w:tcPr>
          <w:p>
            <w:r>
              <w:t xml:space="preserve">False</w:t>
            </w:r>
          </w:p>
        </w:tc>
      </w:tr>
      <w:tr>
        <w:tc>
          <w:tcPr>
            <w:vAlign w:val="center"/>
          </w:tcPr>
          <w:p>
            <w:r>
              <w:t xml:space="preserve">We have established, consistent activities and programming to provide our students with career readiness. </w:t>
            </w:r>
          </w:p>
        </w:tc>
        <w:tc>
          <w:tcPr>
            <w:vAlign w:val="center"/>
          </w:tcPr>
          <w:p>
            <w:r>
              <w:t xml:space="preserve">True</w:t>
            </w:r>
          </w:p>
        </w:tc>
      </w:tr>
      <w:tr>
        <w:tc>
          <w:tcPr>
            <w:vAlign w:val="center"/>
          </w:tcPr>
          <w:p>
            <w:r>
              <w:t xml:space="preserve">Increased instructional time and improved scheduling structures for core academics.
The school increased instructional time for mathematics and improved scheduling structures to provide more consistent grade-level instruction.
This creates greater opportunity for targeted skill development, more frequent practice, and more effective intervention supports, especially for students with foundational skill gaps.</w:t>
            </w:r>
          </w:p>
        </w:tc>
        <w:tc>
          <w:tcPr>
            <w:vAlign w:val="center"/>
          </w:tcPr>
          <w:p>
            <w:r>
              <w:t xml:space="preserve">True</w:t>
            </w:r>
          </w:p>
        </w:tc>
      </w:tr>
      <w:tr>
        <w:tc>
          <w:tcPr>
            <w:vAlign w:val="center"/>
          </w:tcPr>
          <w:p>
            <w:r>
              <w:t xml:space="preserve">Curriculum development, alignment, and continued refinement across
subject areas
Gettysburg Montessori has developed written curriculum across core subject
areas and continues to refine and improve curriculum annually. The ongoing
curriculum work supports instructional consistency and alignment to state
standards. Curriculum work for the subject “writing” is planned for the
summer as part of continuing curriculum development and refinement.</w:t>
            </w:r>
          </w:p>
        </w:tc>
        <w:tc>
          <w:tcPr>
            <w:vAlign w:val="center"/>
          </w:tcPr>
          <w:p>
            <w:r>
              <w:t xml:space="preserve">True</w:t>
            </w:r>
          </w:p>
        </w:tc>
      </w:tr>
      <w:tr>
        <w:tc>
          <w:tcPr>
            <w:vAlign w:val="center"/>
          </w:tcPr>
          <w:p>
            <w:r>
              <w:t xml:space="preserve">Strong foundational literacy and writing supports in K–3
The school has implemented strong early literacy supports and structured
writing routines that strengthen foundational skills and increase student
willingness to attempt literacy tasks. These efforts build long-term readiness
for grade-level expectations and contribute to improved future performance
in ELA achievement and growth indicators.</w:t>
            </w:r>
          </w:p>
        </w:tc>
        <w:tc>
          <w:tcPr>
            <w:vAlign w:val="center"/>
          </w:tcPr>
          <w:p>
            <w:r>
              <w:t xml:space="preserve">True</w:t>
            </w:r>
          </w:p>
        </w:tc>
      </w:tr>
      <w:tr>
        <w:tc>
          <w:tcPr>
            <w:vAlign w:val="center"/>
          </w:tcPr>
          <w:p>
            <w:r>
              <w:t xml:space="preserve">Targeted support systems benefiting economically disadvantaged
students
The school maintains Title supports and intervention structures that provide
additional academic services and access supports (including supports such as
breakfast and learning resources). Economically disadvantaged student
performance has demonstrated relative strength in some historical Index
trends, indicating that these supports may serve as a strong leverage point for
future improvement and equity-focused growth.</w:t>
            </w:r>
          </w:p>
        </w:tc>
        <w:tc>
          <w:tcPr>
            <w:vAlign w:val="center"/>
          </w:tcPr>
          <w:p>
            <w:r>
              <w:t xml:space="preserve">False</w:t>
            </w:r>
          </w:p>
        </w:tc>
      </w:tr>
      <w:tr>
        <w:tc>
          <w:tcPr>
            <w:vAlign w:val="center"/>
          </w:tcPr>
          <w:p>
            <w:r>
              <w:t xml:space="preserve">Strengthened staffing and instructional capacity
Staffing improvements and strengthened instructional capacity in early
grades have contributed to stronger classroom routines and foundational
readiness. Early grade improvement reduces later remediation needs,
strengthens skill development over time, and supports sustained
improvement in achievement and growth.</w:t>
            </w:r>
          </w:p>
        </w:tc>
        <w:tc>
          <w:tcPr>
            <w:vAlign w:val="center"/>
          </w:tcPr>
          <w:p>
            <w:r>
              <w:t xml:space="preserve">False</w:t>
            </w:r>
          </w:p>
        </w:tc>
      </w:tr>
      <w:tr>
        <w:tc>
          <w:tcPr>
            <w:vAlign w:val="center"/>
          </w:tcPr>
          <w:p>
            <w:r>
              <w:t xml:space="preserve">Identify and address individual student learning needs </w:t>
            </w:r>
          </w:p>
        </w:tc>
        <w:tc>
          <w:tcPr>
            <w:vAlign w:val="center"/>
          </w:tcPr>
          <w:p>
            <w:r>
              <w:t xml:space="preserve">False</w:t>
            </w:r>
          </w:p>
        </w:tc>
      </w:tr>
      <w:tr>
        <w:tc>
          <w:tcPr>
            <w:vAlign w:val="center"/>
          </w:tcPr>
          <w:p>
            <w:r>
              <w:t xml:space="preserve">Provide frequent, timely, and systematic feedback and support on instructional practices </w:t>
            </w:r>
          </w:p>
        </w:tc>
        <w:tc>
          <w:tcPr>
            <w:vAlign w:val="center"/>
          </w:tcPr>
          <w:p>
            <w:r>
              <w:t xml:space="preserve">True</w:t>
            </w:r>
          </w:p>
        </w:tc>
      </w:tr>
      <w:tr>
        <w:tc>
          <w:tcPr>
            <w:vAlign w:val="center"/>
          </w:tcPr>
          <w:p>
            <w:r>
              <w:t xml:space="preserve">Foster a culture of high expectations for success for all students, educators, families, and community members </w:t>
            </w:r>
          </w:p>
        </w:tc>
        <w:tc>
          <w:tcPr>
            <w:vAlign w:val="center"/>
          </w:tcPr>
          <w:p>
            <w:r>
              <w:t xml:space="preserve">True</w:t>
            </w:r>
          </w:p>
        </w:tc>
      </w:tr>
      <w:tr>
        <w:tc>
          <w:tcPr>
            <w:vAlign w:val="center"/>
          </w:tcPr>
          <w:p>
            <w:r>
              <w:t xml:space="preserve">Implement a multi-tiered system of supports for academics and behavior.</w:t>
            </w:r>
          </w:p>
        </w:tc>
        <w:tc>
          <w:tcPr>
            <w:vAlign w:val="center"/>
          </w:tcPr>
          <w:p>
            <w:r>
              <w:t xml:space="preserve">False</w:t>
            </w:r>
          </w:p>
        </w:tc>
      </w:tr>
      <w:tr>
        <w:tc>
          <w:tcPr>
            <w:vAlign w:val="center"/>
          </w:tcPr>
          <w:p>
            <w:r>
              <w:t xml:space="preserve">Monitor and evaluate the impact of professional learning on staff practices and student learning</w:t>
            </w:r>
          </w:p>
        </w:tc>
        <w:tc>
          <w:tcPr>
            <w:vAlign w:val="center"/>
          </w:tcPr>
          <w:p>
            <w:r>
              <w:t xml:space="preserve">True</w:t>
            </w:r>
          </w:p>
        </w:tc>
      </w:tr>
    </w:tbl>
    <w:p>
      <w:pPr>
        <w:pStyle w:val="Heading2"/>
      </w:pPr>
      <w:r>
        <w:t xml:space="preserve">Challenges</w:t>
      </w:r>
    </w:p>
    <w:p>
      <w:r>
        <w:t xml:space="preserve">Examine the Summary of Challenges. Identify the challenges which are most pressing at this time for your Charter/Cyber Charter School and if improved would have the most pronounced impact in achieving your mission and vision. Check the box to the right of these identified challenge(s).</w:t>
      </w:r>
    </w:p>
    <w:tbl>
      <w:tblPr>
        <w:tblStyle w:val="TableGrid"/>
        <w:tblW w:w="5000" w:type="pct"/>
      </w:tblPr>
      <w:tblGrid>
        <w:gridCol/>
        <w:gridCol/>
      </w:tblGrid>
      <w:tr>
        <w:tc>
          <w:tcPr>
            <w:tcW w:w="4000" w:type="pct"/>
            <w:vAlign w:val="center"/>
          </w:tcPr>
          <w:p>
            <w:r>
              <w:t xml:space="preserve">Strength</w:t>
            </w:r>
          </w:p>
        </w:tc>
        <w:tc>
          <w:tcPr>
            <w:vAlign w:val="center"/>
          </w:tcPr>
          <w:p>
            <w:r>
              <w:t xml:space="preserve">Check for Consideration in Plan</w:t>
            </w:r>
          </w:p>
        </w:tc>
      </w:tr>
      <w:tr>
        <w:tc>
          <w:tcPr>
            <w:vAlign w:val="center"/>
          </w:tcPr>
          <w:p>
            <w:r>
              <w:t xml:space="preserve">Student stamina, persistence, and effective test-taking behaviors. 
Students demonstrate reduced stamina for sustained reading, writing, and multi-step (written) problem solving. Students often struggle to persist through academic tasks requiring evidence-based responses or extended attention. Some students rush through assessments or disengage, which negatively impacts proficiency and growth outcomes.</w:t>
            </w:r>
          </w:p>
        </w:tc>
        <w:tc>
          <w:tcPr>
            <w:vAlign w:val="center"/>
          </w:tcPr>
          <w:p>
            <w:r>
              <w:t xml:space="preserve">False</w:t>
            </w:r>
          </w:p>
        </w:tc>
      </w:tr>
      <w:tr>
        <w:tc>
          <w:tcPr>
            <w:vAlign w:val="center"/>
          </w:tcPr>
          <w:p>
            <w:r>
              <w:t xml:space="preserve">Motivation, academic buy-in, and student ownership of learning.
Many students do not view academic performance and state assessments as meaningful, contributing to inconsistent effort, refusal behaviors, and low engagement. Increased goal-setting routines, student conferences, progress monitoring transparency, and consistent reinforcement of academic purpose are needed to build ownership and improve performance.</w:t>
            </w:r>
          </w:p>
        </w:tc>
        <w:tc>
          <w:tcPr>
            <w:vAlign w:val="center"/>
          </w:tcPr>
          <w:p>
            <w:r>
              <w:t xml:space="preserve">True</w:t>
            </w:r>
          </w:p>
        </w:tc>
      </w:tr>
      <w:tr>
        <w:tc>
          <w:tcPr>
            <w:vAlign w:val="center"/>
          </w:tcPr>
          <w:p>
            <w:r>
              <w:t xml:space="preserve">Anxiety, perfectionism, and confidence impacting academic performance.
Staff observations indicate increased anxiety, fear of being wrong, and perfectionism, which can result in shutdown behaviors and reluctance to attempt challenging tasks. These factors negatively impact persistence, confidence, and assessment readiness.</w:t>
            </w:r>
          </w:p>
        </w:tc>
        <w:tc>
          <w:tcPr>
            <w:vAlign w:val="center"/>
          </w:tcPr>
          <w:p>
            <w:r>
              <w:t xml:space="preserve">True</w:t>
            </w:r>
          </w:p>
        </w:tc>
      </w:tr>
      <w:tr>
        <w:tc>
          <w:tcPr>
            <w:vAlign w:val="center"/>
          </w:tcPr>
          <w:p>
            <w:r>
              <w:t xml:space="preserve">Acadience: Nonsense word fluency: First grade shows less growth, possibly because students convert nonsense words into real words.
 • Larger class sizes in first and second grade; many staff members were new but have now been trained in Heggerty.
 • Fluency remains an area for improvement.
 • A significant portion of students have IEPs, affecting scores.
</w:t>
            </w:r>
          </w:p>
        </w:tc>
        <w:tc>
          <w:tcPr>
            <w:vAlign w:val="center"/>
          </w:tcPr>
          <w:p>
            <w:r>
              <w:t xml:space="preserve">True</w:t>
            </w:r>
          </w:p>
        </w:tc>
      </w:tr>
      <w:tr>
        <w:tc>
          <w:tcPr>
            <w:vAlign w:val="center"/>
          </w:tcPr>
          <w:p>
            <w:r>
              <w:t xml:space="preserve">CDTs High number of students with IEPs being assessed at incorrect levels, resulting in data misalignment with CDT outcomes.
</w:t>
            </w:r>
          </w:p>
        </w:tc>
        <w:tc>
          <w:tcPr>
            <w:vAlign w:val="center"/>
          </w:tcPr>
          <w:p>
            <w:r>
              <w:t xml:space="preserve">False</w:t>
            </w:r>
          </w:p>
        </w:tc>
      </w:tr>
      <w:tr>
        <w:tc>
          <w:tcPr>
            <w:vAlign w:val="center"/>
          </w:tcPr>
          <w:p>
            <w:r>
              <w:t xml:space="preserve">Inconsistent assessment preparation practices and limited process-based instruction.
Some assessment preparation practices in 24/25 prioritized answers and completion rather than developing stamina, strategies, and the cognitive processes required for success. Strengthening consistent process-based instruction, teaching test-taking skills, and evidence-based responding is necessary for improved performance and student independence.</w:t>
            </w:r>
          </w:p>
        </w:tc>
        <w:tc>
          <w:tcPr>
            <w:vAlign w:val="center"/>
          </w:tcPr>
          <w:p>
            <w:r>
              <w:t xml:space="preserve">True</w:t>
            </w:r>
          </w:p>
        </w:tc>
      </w:tr>
      <w:tr>
        <w:tc>
          <w:tcPr>
            <w:vAlign w:val="center"/>
          </w:tcPr>
          <w:p>
            <w:r>
              <w:t xml:space="preserve">Student mobility and transitions impacting readiness and continuity.
High student mobility, including students enrolling after disruptions or entering significantly below grade level, creates challenges for maintaining consistent readiness and pacing. Systems for rapid diagnostic screening, onboarding supports and accelerated foundational skill interventions are needed to reduce the impact of mobility on achievement and growth outcomes.</w:t>
            </w:r>
          </w:p>
        </w:tc>
        <w:tc>
          <w:tcPr>
            <w:vAlign w:val="center"/>
          </w:tcPr>
          <w:p>
            <w:r>
              <w:t xml:space="preserve">True</w:t>
            </w:r>
          </w:p>
        </w:tc>
      </w:tr>
      <w:tr>
        <w:tc>
          <w:tcPr>
            <w:vAlign w:val="center"/>
          </w:tcPr>
          <w:p>
            <w:r>
              <w:t xml:space="preserve">Elevated rates of new students impact the consistency of instruction, assessment, and year to year growth.
</w:t>
            </w:r>
          </w:p>
        </w:tc>
        <w:tc>
          <w:tcPr>
            <w:vAlign w:val="center"/>
          </w:tcPr>
          <w:p>
            <w:r>
              <w:t xml:space="preserve">True</w:t>
            </w:r>
          </w:p>
        </w:tc>
      </w:tr>
      <w:tr>
        <w:tc>
          <w:tcPr>
            <w:vAlign w:val="center"/>
          </w:tcPr>
          <w:p>
            <w:r>
              <w:t xml:space="preserve">Test anxiety, lack of motivation, and shutting down interfere with accurate assessment performance . Implementation challenges associated with the new testing system and format (including dropdown menus and other tech features).
</w:t>
            </w:r>
          </w:p>
        </w:tc>
        <w:tc>
          <w:tcPr>
            <w:vAlign w:val="center"/>
          </w:tcPr>
          <w:p>
            <w:r>
              <w:t xml:space="preserve">True</w:t>
            </w:r>
          </w:p>
        </w:tc>
      </w:tr>
      <w:tr>
        <w:tc>
          <w:tcPr>
            <w:vAlign w:val="center"/>
          </w:tcPr>
          <w:p>
            <w:r>
              <w:t xml:space="preserve">The students were weak in Numbers and Operations,  Concepts and Applications, as well as Algebraic Concepts. Areas for Growth: Informational Standards (not a weakness, but slightly lower compared to other areas)
</w:t>
            </w:r>
          </w:p>
        </w:tc>
        <w:tc>
          <w:tcPr>
            <w:vAlign w:val="center"/>
          </w:tcPr>
          <w:p>
            <w:r>
              <w:t xml:space="preserve">True</w:t>
            </w:r>
          </w:p>
        </w:tc>
      </w:tr>
      <w:tr>
        <w:tc>
          <w:tcPr>
            <w:vAlign w:val="center"/>
          </w:tcPr>
          <w:p>
            <w:r>
              <w:t xml:space="preserve">Some students are assessed at the wrong level, especially those with IEPs.
</w:t>
            </w:r>
          </w:p>
        </w:tc>
        <w:tc>
          <w:tcPr>
            <w:vAlign w:val="center"/>
          </w:tcPr>
          <w:p>
            <w:r>
              <w:t xml:space="preserve">False</w:t>
            </w:r>
          </w:p>
        </w:tc>
      </w:tr>
      <w:tr>
        <w:tc>
          <w:tcPr>
            <w:vAlign w:val="center"/>
          </w:tcPr>
          <w:p>
            <w:r>
              <w:t xml:space="preserve">Scheduling effective instructional times for multi grade levels to allow for an uninterrupted time block.
</w:t>
            </w:r>
          </w:p>
        </w:tc>
        <w:tc>
          <w:tcPr>
            <w:vAlign w:val="center"/>
          </w:tcPr>
          <w:p>
            <w:r>
              <w:t xml:space="preserve">True</w:t>
            </w:r>
          </w:p>
        </w:tc>
      </w:tr>
      <w:tr>
        <w:tc>
          <w:tcPr>
            <w:vAlign w:val="center"/>
          </w:tcPr>
          <w:p>
            <w:r>
              <w:t xml:space="preserve">Motivation and test-taking skills (students struggle with dropdown boxes, rushing, and limited stamina).  Student shutdown due to behavior, stamina, or lack of motivation. Incentives for motivation have not been effective.</w:t>
            </w:r>
          </w:p>
        </w:tc>
        <w:tc>
          <w:tcPr>
            <w:vAlign w:val="center"/>
          </w:tcPr>
          <w:p>
            <w:r>
              <w:t xml:space="preserve">True</w:t>
            </w:r>
          </w:p>
        </w:tc>
      </w:tr>
      <w:tr>
        <w:tc>
          <w:tcPr>
            <w:vAlign w:val="center"/>
          </w:tcPr>
          <w:p>
            <w:r>
              <w:t xml:space="preserve">Physical Science, Environmental Literacy, and Sustainability curriculum was newly written and has not had time to take effect and evolve.
</w:t>
            </w:r>
          </w:p>
        </w:tc>
        <w:tc>
          <w:tcPr>
            <w:vAlign w:val="center"/>
          </w:tcPr>
          <w:p>
            <w:r>
              <w:t xml:space="preserve">False</w:t>
            </w:r>
          </w:p>
        </w:tc>
      </w:tr>
      <w:tr>
        <w:tc>
          <w:tcPr>
            <w:vAlign w:val="center"/>
          </w:tcPr>
          <w:p>
            <w:r>
              <w:t xml:space="preserve">Fourth-grade performance is not as strong because of prior staffing issues.</w:t>
            </w:r>
          </w:p>
        </w:tc>
        <w:tc>
          <w:tcPr>
            <w:vAlign w:val="center"/>
          </w:tcPr>
          <w:p>
            <w:r>
              <w:t xml:space="preserve">False</w:t>
            </w:r>
          </w:p>
        </w:tc>
      </w:tr>
      <w:tr>
        <w:tc>
          <w:tcPr>
            <w:vAlign w:val="center"/>
          </w:tcPr>
          <w:p>
            <w:r>
              <w:t xml:space="preserve">New move-in students</w:t>
            </w:r>
          </w:p>
        </w:tc>
        <w:tc>
          <w:tcPr>
            <w:vAlign w:val="center"/>
          </w:tcPr>
          <w:p>
            <w:r>
              <w:t xml:space="preserve">False</w:t>
            </w:r>
          </w:p>
        </w:tc>
      </w:tr>
      <w:tr>
        <w:tc>
          <w:tcPr>
            <w:vAlign w:val="center"/>
          </w:tcPr>
          <w:p>
            <w:r>
              <w:t xml:space="preserve">Some students rely heavily on having items read aloud and may not be auditory learners
 Limited exposure to scientific vocabulary</w:t>
            </w:r>
          </w:p>
        </w:tc>
        <w:tc>
          <w:tcPr>
            <w:vAlign w:val="center"/>
          </w:tcPr>
          <w:p>
            <w:r>
              <w:t xml:space="preserve">True</w:t>
            </w:r>
          </w:p>
        </w:tc>
      </w:tr>
      <w:tr>
        <w:tc>
          <w:tcPr>
            <w:vAlign w:val="center"/>
          </w:tcPr>
          <w:p>
            <w:r>
              <w:t xml:space="preserve">Resources for economically disadvantaged populations</w:t>
            </w:r>
          </w:p>
        </w:tc>
        <w:tc>
          <w:tcPr>
            <w:vAlign w:val="center"/>
          </w:tcPr>
          <w:p>
            <w:r>
              <w:t xml:space="preserve">False</w:t>
            </w:r>
          </w:p>
        </w:tc>
      </w:tr>
      <w:tr>
        <w:tc>
          <w:tcPr>
            <w:vAlign w:val="center"/>
          </w:tcPr>
          <w:p>
            <w:r>
              <w:t xml:space="preserve">Instruction consistency (teacher retention, teacher Professional Development, curriculum review and usage)</w:t>
            </w:r>
          </w:p>
        </w:tc>
        <w:tc>
          <w:tcPr>
            <w:vAlign w:val="center"/>
          </w:tcPr>
          <w:p>
            <w:r>
              <w:t xml:space="preserve">True</w:t>
            </w:r>
          </w:p>
        </w:tc>
      </w:tr>
      <w:tr>
        <w:tc>
          <w:tcPr>
            <w:vAlign w:val="center"/>
          </w:tcPr>
          <w:p>
            <w:r>
              <w:t xml:space="preserve">Retention of student population from year to year (Montessori methods and learning)</w:t>
            </w:r>
          </w:p>
        </w:tc>
        <w:tc>
          <w:tcPr>
            <w:vAlign w:val="center"/>
          </w:tcPr>
          <w:p>
            <w:r>
              <w:t xml:space="preserve">True</w:t>
            </w:r>
          </w:p>
        </w:tc>
      </w:tr>
      <w:tr>
        <w:tc>
          <w:tcPr>
            <w:vAlign w:val="center"/>
          </w:tcPr>
          <w:p>
            <w:r>
              <w:t xml:space="preserve">Ensure that career readiness is continued for future students. </w:t>
            </w:r>
          </w:p>
        </w:tc>
        <w:tc>
          <w:tcPr>
            <w:vAlign w:val="center"/>
          </w:tcPr>
          <w:p>
            <w:r>
              <w:t xml:space="preserve">True</w:t>
            </w:r>
          </w:p>
        </w:tc>
      </w:tr>
      <w:tr>
        <w:tc>
          <w:tcPr>
            <w:vAlign w:val="center"/>
          </w:tcPr>
          <w:p>
            <w:r>
              <w:t xml:space="preserve">Student stamina, persistence, and effective test-taking behaviors
Students demonstrate reduced stamina for sustained reading, writing, and multi-step (written) problem solving. Students often struggle to persist
through academic tasks requiring evidence-based responses or extended
attention. Some students rush through assessments or disengage, which
negatively impacts proficiency and growth outcomes.</w:t>
            </w:r>
          </w:p>
        </w:tc>
        <w:tc>
          <w:tcPr>
            <w:vAlign w:val="center"/>
          </w:tcPr>
          <w:p>
            <w:r>
              <w:t xml:space="preserve">True</w:t>
            </w:r>
          </w:p>
        </w:tc>
      </w:tr>
      <w:tr>
        <w:tc>
          <w:tcPr>
            <w:vAlign w:val="center"/>
          </w:tcPr>
          <w:p>
            <w:r>
              <w:t xml:space="preserve">Motivation, academic buy-in, and student ownership of learning
Many students do not view academic performance and state assessments as meaningful, contributing to inconsistent effort, refusal behaviors, and low
engagement. Increased goal-setting routines, student conferences, progress
monitoring transparency, and consistent reinforcement of academic purpose
are needed to build ownership and improve performance.</w:t>
            </w:r>
          </w:p>
        </w:tc>
        <w:tc>
          <w:tcPr>
            <w:vAlign w:val="center"/>
          </w:tcPr>
          <w:p>
            <w:r>
              <w:t xml:space="preserve">True</w:t>
            </w:r>
          </w:p>
        </w:tc>
      </w:tr>
      <w:tr>
        <w:tc>
          <w:tcPr>
            <w:vAlign w:val="center"/>
          </w:tcPr>
          <w:p>
            <w:r>
              <w:t xml:space="preserve">Anxiety, perfectionism, and confidence are impacting academic performance
Staff observations indicate increased anxiety, fear of being wrong, and perfectionism, which can result in shutdown behaviors and reluctance to
attempt challenging tasks. These factors negatively impact persistence,
confidence, and assessment readiness.</w:t>
            </w:r>
          </w:p>
        </w:tc>
        <w:tc>
          <w:tcPr>
            <w:vAlign w:val="center"/>
          </w:tcPr>
          <w:p>
            <w:r>
              <w:t xml:space="preserve">True</w:t>
            </w:r>
          </w:p>
        </w:tc>
      </w:tr>
      <w:tr>
        <w:tc>
          <w:tcPr>
            <w:vAlign w:val="center"/>
          </w:tcPr>
          <w:p>
            <w:r>
              <w:t xml:space="preserve">Inconsistent assessment preparation practices and a limited process-based instruction
Some assessment preparation practices in 24/25 prioritized answers and completion rather than developing stamina, strategies, and the cognitive
processes required for success. Strengthening consistent process-based instruction, teaching test-taking skills, and evidence-based responding is necessary for improved performance and student independence.</w:t>
            </w:r>
          </w:p>
        </w:tc>
        <w:tc>
          <w:tcPr>
            <w:vAlign w:val="center"/>
          </w:tcPr>
          <w:p>
            <w:r>
              <w:t xml:space="preserve">True</w:t>
            </w:r>
          </w:p>
        </w:tc>
      </w:tr>
      <w:tr>
        <w:tc>
          <w:tcPr>
            <w:vAlign w:val="center"/>
          </w:tcPr>
          <w:p>
            <w:r>
              <w:t xml:space="preserve">Student mobility and transitions impacting readiness and continuity
High student mobility, including students enrolling after disruptions or entering significantly below grade level, creates challenges for maintaining
consistent readiness and pacing. Systems for rapid diagnostic screening, onboarding supports, and accelerated foundational skill interventions are
needed to reduce the impact of mobility on achievement and growth outcomes.</w:t>
            </w:r>
          </w:p>
        </w:tc>
        <w:tc>
          <w:tcPr>
            <w:vAlign w:val="center"/>
          </w:tcPr>
          <w:p>
            <w:r>
              <w:t xml:space="preserve">True</w:t>
            </w:r>
          </w:p>
        </w:tc>
      </w:tr>
      <w:tr>
        <w:tc>
          <w:tcPr>
            <w:vAlign w:val="center"/>
          </w:tcPr>
          <w:p>
            <w:r>
              <w:t xml:space="preserve">Use a variety of assessments (including diagnostic, formative, and summative) to monitor student learning and adjust programs and instructional practices *</w:t>
            </w:r>
          </w:p>
        </w:tc>
        <w:tc>
          <w:tcPr>
            <w:vAlign w:val="center"/>
          </w:tcPr>
          <w:p>
            <w:r>
              <w:t xml:space="preserve">True</w:t>
            </w:r>
          </w:p>
        </w:tc>
      </w:tr>
    </w:tbl>
    <w:p>
      <w:pPr>
        <w:pStyle w:val="Heading2"/>
      </w:pPr>
      <w:r>
        <w:t xml:space="preserve">Most Notable Observations/Patterns</w:t>
      </w:r>
    </w:p>
    <w:p>
      <w:r>
        <w:t xml:space="preserve">In the space provided, record any of the comments and notable observations made as your team worked through the needs assessment that stand out as important to the challenge(s) you checked for consideration in your comprehensive plan.</w:t>
      </w:r>
    </w:p>
    <w:p>
      <w:r>
        <w:t xml:space="preserve">The addition of assessments to drive instruction to meet the needs of all students. Students are experiencing anxiety, stress, lack of motivation, and a lack of coping skills which is impacting their learning and growth</w:t>
      </w:r>
    </w:p>
    <w:p>
      <w:r>
        <w:br/>
      </w:r>
      <w:r>
        <w:br/>
      </w:r>
      <w:r>
        <w:br/>
      </w:r>
      <w:r>
        <w:br/>
      </w:r>
      <w:r>
        <w:br/>
      </w:r>
      <w:r>
        <w:br/>
      </w:r>
      <w:r>
        <w:br w:type="page"/>
      </w:r>
      <w:r>
        <w:lastRenderedPageBreak/>
      </w:r>
    </w:p>
    <w:p>
      <w:pPr>
        <w:pStyle w:val="Heading1"/>
      </w:pPr>
      <w:r>
        <w:t xml:space="preserve">Analyzing (Strengths and Challenges)</w:t>
      </w:r>
    </w:p>
    <w:p>
      <w:pPr>
        <w:pStyle w:val="Heading2"/>
      </w:pPr>
      <w:r>
        <w:t xml:space="preserve">Analyzing Challenges</w:t>
      </w:r>
    </w:p>
    <w:tbl>
      <w:tblPr>
        <w:tblStyle w:val="TableGrid"/>
        <w:tblW w:w="5000" w:type="pct"/>
      </w:tblPr>
      <w:tblGrid>
        <w:gridCol/>
        <w:gridCol/>
        <w:gridCol/>
      </w:tblGrid>
      <w:tr>
        <w:tc>
          <w:tcPr>
            <w:vAlign w:val="center"/>
          </w:tcPr>
          <w:p>
            <w:r>
              <w:rPr>
                <w:b/>
              </w:rPr>
              <w:t xml:space="preserve">Analyzing Challenges</w:t>
            </w:r>
          </w:p>
        </w:tc>
        <w:tc>
          <w:tcPr>
            <w:vAlign w:val="center"/>
          </w:tcPr>
          <w:p>
            <w:r>
              <w:rPr>
                <w:b/>
              </w:rPr>
              <w:t xml:space="preserve">Discussion Points</w:t>
            </w:r>
          </w:p>
        </w:tc>
        <w:tc>
          <w:tcPr>
            <w:vAlign w:val="center"/>
          </w:tcPr>
          <w:p>
            <w:r>
              <w:rPr>
                <w:b/>
              </w:rPr>
              <w:t xml:space="preserve">Check for Priority</w:t>
            </w:r>
          </w:p>
        </w:tc>
      </w:tr>
      <w:tr>
        <w:tc>
          <w:tcPr>
            <w:vAlign w:val="center"/>
          </w:tcPr>
          <w:p>
            <w:r>
              <w:t xml:space="preserve">Acadience: Nonsense word fluency: First grade shows less growth, possibly because students convert nonsense words into real words.
 • Larger class sizes in first and second grade; many staff members were new but have now been trained in Heggerty.
 • Fluency remains an area for improvement.
 • A significant portion of students have IEPs, affecting scores.
</w:t>
            </w:r>
          </w:p>
        </w:tc>
        <w:tc>
          <w:tcPr>
            <w:vAlign w:val="center"/>
          </w:tcPr>
          <w:p/>
        </w:tc>
        <w:tc>
          <w:tcPr>
            <w:vAlign w:val="center"/>
          </w:tcPr>
          <w:p>
            <w:r>
              <w:t xml:space="preserve">True</w:t>
            </w:r>
          </w:p>
        </w:tc>
      </w:tr>
      <w:tr>
        <w:tc>
          <w:tcPr>
            <w:vAlign w:val="center"/>
          </w:tcPr>
          <w:p>
            <w:r>
              <w:t xml:space="preserve">Elevated rates of new students impact the consistency of instruction, assessment, and year to year growth.
</w:t>
            </w:r>
          </w:p>
        </w:tc>
        <w:tc>
          <w:tcPr>
            <w:vAlign w:val="center"/>
          </w:tcPr>
          <w:p/>
        </w:tc>
        <w:tc>
          <w:tcPr>
            <w:vAlign w:val="center"/>
          </w:tcPr>
          <w:p>
            <w:r>
              <w:t xml:space="preserve">False</w:t>
            </w:r>
          </w:p>
        </w:tc>
      </w:tr>
      <w:tr>
        <w:tc>
          <w:tcPr>
            <w:vAlign w:val="center"/>
          </w:tcPr>
          <w:p>
            <w:r>
              <w:t xml:space="preserve">Test anxiety, lack of motivation, and shutting down interfere with accurate assessment performance . Implementation challenges associated with the new testing system and format (including dropdown menus and other tech features).
</w:t>
            </w:r>
          </w:p>
        </w:tc>
        <w:tc>
          <w:tcPr>
            <w:vAlign w:val="center"/>
          </w:tcPr>
          <w:p/>
        </w:tc>
        <w:tc>
          <w:tcPr>
            <w:vAlign w:val="center"/>
          </w:tcPr>
          <w:p>
            <w:r>
              <w:t xml:space="preserve">False</w:t>
            </w:r>
          </w:p>
        </w:tc>
      </w:tr>
      <w:tr>
        <w:tc>
          <w:tcPr>
            <w:vAlign w:val="center"/>
          </w:tcPr>
          <w:p>
            <w:r>
              <w:t xml:space="preserve">The students were weak in Numbers and Operations,  Concepts and Applications, as well as Algebraic Concepts. Areas for Growth: Informational Standards (not a weakness, but slightly lower compared to other areas)
</w:t>
            </w:r>
          </w:p>
        </w:tc>
        <w:tc>
          <w:tcPr>
            <w:vAlign w:val="center"/>
          </w:tcPr>
          <w:p/>
        </w:tc>
        <w:tc>
          <w:tcPr>
            <w:vAlign w:val="center"/>
          </w:tcPr>
          <w:p>
            <w:r>
              <w:t xml:space="preserve">True</w:t>
            </w:r>
          </w:p>
        </w:tc>
      </w:tr>
      <w:tr>
        <w:tc>
          <w:tcPr>
            <w:vAlign w:val="center"/>
          </w:tcPr>
          <w:p>
            <w:r>
              <w:t xml:space="preserve">Scheduling effective instructional times for multi grade levels to allow for an uninterrupted time block.
</w:t>
            </w:r>
          </w:p>
        </w:tc>
        <w:tc>
          <w:tcPr>
            <w:vAlign w:val="center"/>
          </w:tcPr>
          <w:p/>
        </w:tc>
        <w:tc>
          <w:tcPr>
            <w:vAlign w:val="center"/>
          </w:tcPr>
          <w:p>
            <w:r>
              <w:t xml:space="preserve">False</w:t>
            </w:r>
          </w:p>
        </w:tc>
      </w:tr>
      <w:tr>
        <w:tc>
          <w:tcPr>
            <w:vAlign w:val="center"/>
          </w:tcPr>
          <w:p>
            <w:r>
              <w:t xml:space="preserve">Motivation and test-taking skills (students struggle with dropdown boxes, rushing, and limited stamina).  Student shutdown due to behavior, stamina, or lack of motivation. Incentives for motivation have not been effective.</w:t>
            </w:r>
          </w:p>
        </w:tc>
        <w:tc>
          <w:tcPr>
            <w:vAlign w:val="center"/>
          </w:tcPr>
          <w:p/>
        </w:tc>
        <w:tc>
          <w:tcPr>
            <w:vAlign w:val="center"/>
          </w:tcPr>
          <w:p>
            <w:r>
              <w:t xml:space="preserve">True</w:t>
            </w:r>
          </w:p>
        </w:tc>
      </w:tr>
      <w:tr>
        <w:tc>
          <w:tcPr>
            <w:vAlign w:val="center"/>
          </w:tcPr>
          <w:p>
            <w:r>
              <w:t xml:space="preserve">Some students rely heavily on having items read aloud and may not be auditory learners
 Limited exposure to scientific vocabulary</w:t>
            </w:r>
          </w:p>
        </w:tc>
        <w:tc>
          <w:tcPr>
            <w:vAlign w:val="center"/>
          </w:tcPr>
          <w:p>
            <w:r>
              <w:t xml:space="preserve">Struggling due to: specific learning disabilities, family priorities and lack of support, students not at academic level and are in RtI/MTSS, previous reading instruction (COVID, home-schooling)</w:t>
            </w:r>
          </w:p>
        </w:tc>
        <w:tc>
          <w:tcPr>
            <w:vAlign w:val="center"/>
          </w:tcPr>
          <w:p>
            <w:r>
              <w:t xml:space="preserve">False</w:t>
            </w:r>
          </w:p>
        </w:tc>
      </w:tr>
      <w:tr>
        <w:tc>
          <w:tcPr>
            <w:vAlign w:val="center"/>
          </w:tcPr>
          <w:p>
            <w:r>
              <w:t xml:space="preserve">Instruction consistency (teacher retention, teacher Professional Development, curriculum review and usage)</w:t>
            </w:r>
          </w:p>
        </w:tc>
        <w:tc>
          <w:tcPr>
            <w:vAlign w:val="center"/>
          </w:tcPr>
          <w:p/>
        </w:tc>
        <w:tc>
          <w:tcPr>
            <w:vAlign w:val="center"/>
          </w:tcPr>
          <w:p>
            <w:r>
              <w:t xml:space="preserve">False</w:t>
            </w:r>
          </w:p>
        </w:tc>
      </w:tr>
      <w:tr>
        <w:tc>
          <w:tcPr>
            <w:vAlign w:val="center"/>
          </w:tcPr>
          <w:p>
            <w:r>
              <w:t xml:space="preserve">Retention of student population from year to year (Montessori methods and learning)</w:t>
            </w:r>
          </w:p>
        </w:tc>
        <w:tc>
          <w:tcPr>
            <w:vAlign w:val="center"/>
          </w:tcPr>
          <w:p/>
        </w:tc>
        <w:tc>
          <w:tcPr>
            <w:vAlign w:val="center"/>
          </w:tcPr>
          <w:p>
            <w:r>
              <w:t xml:space="preserve">False</w:t>
            </w:r>
          </w:p>
        </w:tc>
      </w:tr>
      <w:tr>
        <w:tc>
          <w:tcPr>
            <w:vAlign w:val="center"/>
          </w:tcPr>
          <w:p>
            <w:r>
              <w:t xml:space="preserve">Ensure that career readiness is continued for future students. </w:t>
            </w:r>
          </w:p>
        </w:tc>
        <w:tc>
          <w:tcPr>
            <w:vAlign w:val="center"/>
          </w:tcPr>
          <w:p/>
        </w:tc>
        <w:tc>
          <w:tcPr>
            <w:vAlign w:val="center"/>
          </w:tcPr>
          <w:p>
            <w:r>
              <w:t xml:space="preserve">False</w:t>
            </w:r>
          </w:p>
        </w:tc>
      </w:tr>
      <w:tr>
        <w:tc>
          <w:tcPr>
            <w:vAlign w:val="center"/>
          </w:tcPr>
          <w:p>
            <w:r>
              <w:t xml:space="preserve">Motivation, academic buy-in, and student ownership of learning.
Many students do not view academic performance and state assessments as meaningful, contributing to inconsistent effort, refusal behaviors, and low engagement. Increased goal-setting routines, student conferences, progress monitoring transparency, and consistent reinforcement of academic purpose are needed to build ownership and improve performance.</w:t>
            </w:r>
          </w:p>
        </w:tc>
        <w:tc>
          <w:tcPr>
            <w:vAlign w:val="center"/>
          </w:tcPr>
          <w:p/>
        </w:tc>
        <w:tc>
          <w:tcPr>
            <w:vAlign w:val="center"/>
          </w:tcPr>
          <w:p>
            <w:r>
              <w:t xml:space="preserve">False</w:t>
            </w:r>
          </w:p>
        </w:tc>
      </w:tr>
      <w:tr>
        <w:tc>
          <w:tcPr>
            <w:vAlign w:val="center"/>
          </w:tcPr>
          <w:p>
            <w:r>
              <w:t xml:space="preserve">Anxiety, perfectionism, and confidence impacting academic performance.
Staff observations indicate increased anxiety, fear of being wrong, and perfectionism, which can result in shutdown behaviors and reluctance to attempt challenging tasks. These factors negatively impact persistence, confidence, and assessment readiness.</w:t>
            </w:r>
          </w:p>
        </w:tc>
        <w:tc>
          <w:tcPr>
            <w:vAlign w:val="center"/>
          </w:tcPr>
          <w:p>
            <w:r>
              <w:t xml:space="preserve">Staff observations indicate increased anxiety, fear of being wrong, and perfectionism, which can result in shutdown behaviors and reluctance to attempt challenging tasks. These factors negatively impact persistence, confidence, and assessment readiness. Test anxiety, and shutting down interfere with accurate assessment performance. Implementation challenges associated with the new testing system and format including dropdown menus and other tech features. Motivation and test-taking skills, students struggle with dropdown boxes, rushing, and limited stamina. Student shutdown due to behavior, stamina, or lack of motivation. Incentives for motivation have not been effective. Motivation, academic buy-in and student ownership of learning. Lack of motivation interfere with accurate assessent performance. Many students do not view academic performance and state assessments as meaningful, contributing to inconsistent effort, refusal behaviors, and low engagement. Increased goal setting routines student conferences, progress monitoring transparency, and consistent reinforcement of academic purpose are needed to build ownership and improve performance</w:t>
            </w:r>
          </w:p>
        </w:tc>
        <w:tc>
          <w:tcPr>
            <w:vAlign w:val="center"/>
          </w:tcPr>
          <w:p>
            <w:r>
              <w:t xml:space="preserve">True</w:t>
            </w:r>
          </w:p>
        </w:tc>
      </w:tr>
      <w:tr>
        <w:tc>
          <w:tcPr>
            <w:vAlign w:val="center"/>
          </w:tcPr>
          <w:p>
            <w:r>
              <w:t xml:space="preserve">Inconsistent assessment preparation practices and limited process-based instruction.
Some assessment preparation practices in 24/25 prioritized answers and completion rather than developing stamina, strategies, and the cognitive processes required for success. Strengthening consistent process-based instruction, teaching test-taking skills, and evidence-based responding is necessary for improved performance and student independence.</w:t>
            </w:r>
          </w:p>
        </w:tc>
        <w:tc>
          <w:tcPr>
            <w:vAlign w:val="center"/>
          </w:tcPr>
          <w:p/>
        </w:tc>
        <w:tc>
          <w:tcPr>
            <w:vAlign w:val="center"/>
          </w:tcPr>
          <w:p>
            <w:r>
              <w:t xml:space="preserve">False</w:t>
            </w:r>
          </w:p>
        </w:tc>
      </w:tr>
      <w:tr>
        <w:tc>
          <w:tcPr>
            <w:vAlign w:val="center"/>
          </w:tcPr>
          <w:p>
            <w:r>
              <w:t xml:space="preserve">Student mobility and transitions impacting readiness and continuity.
High student mobility, including students enrolling after disruptions or entering significantly below grade level, creates challenges for maintaining consistent readiness and pacing. Systems for rapid diagnostic screening, onboarding supports and accelerated foundational skill interventions are needed to reduce the impact of mobility on achievement and growth outcomes.</w:t>
            </w:r>
          </w:p>
        </w:tc>
        <w:tc>
          <w:tcPr>
            <w:vAlign w:val="center"/>
          </w:tcPr>
          <w:p/>
        </w:tc>
        <w:tc>
          <w:tcPr>
            <w:vAlign w:val="center"/>
          </w:tcPr>
          <w:p>
            <w:r>
              <w:t xml:space="preserve">False</w:t>
            </w:r>
          </w:p>
        </w:tc>
      </w:tr>
      <w:tr>
        <w:tc>
          <w:tcPr>
            <w:vAlign w:val="center"/>
          </w:tcPr>
          <w:p>
            <w:r>
              <w:t xml:space="preserve">Student stamina, persistence, and effective test-taking behaviors
Students demonstrate reduced stamina for sustained reading, writing, and multi-step (written) problem solving. Students often struggle to persist
through academic tasks requiring evidence-based responses or extended
attention. Some students rush through assessments or disengage, which
negatively impacts proficiency and growth outcomes.</w:t>
            </w:r>
          </w:p>
        </w:tc>
        <w:tc>
          <w:tcPr>
            <w:vAlign w:val="center"/>
          </w:tcPr>
          <w:p>
            <w:r>
              <w:t xml:space="preserve">Students demonstrate reduced stamina for sustained reading, writing, and multi-step written problem solving. Students often struggle to persist through academic tasks requiring evidence-based responses or extended attention. Some students rush through assessments or disengage, which negatively impacts proficiency and growth outcomes. Student stamina, persistence and effective test-taking behaviors are laking.</w:t>
            </w:r>
          </w:p>
        </w:tc>
        <w:tc>
          <w:tcPr>
            <w:vAlign w:val="center"/>
          </w:tcPr>
          <w:p>
            <w:r>
              <w:t xml:space="preserve">False</w:t>
            </w:r>
          </w:p>
        </w:tc>
      </w:tr>
      <w:tr>
        <w:tc>
          <w:tcPr>
            <w:vAlign w:val="center"/>
          </w:tcPr>
          <w:p>
            <w:r>
              <w:t xml:space="preserve">Motivation, academic buy-in, and student ownership of learning
Many students do not view academic performance and state assessments as meaningful, contributing to inconsistent effort, refusal behaviors, and low
engagement. Increased goal-setting routines, student conferences, progress
monitoring transparency, and consistent reinforcement of academic purpose
are needed to build ownership and improve performance.</w:t>
            </w:r>
          </w:p>
        </w:tc>
        <w:tc>
          <w:tcPr>
            <w:vAlign w:val="center"/>
          </w:tcPr>
          <w:p/>
        </w:tc>
        <w:tc>
          <w:tcPr>
            <w:vAlign w:val="center"/>
          </w:tcPr>
          <w:p>
            <w:r>
              <w:t xml:space="preserve">False</w:t>
            </w:r>
          </w:p>
        </w:tc>
      </w:tr>
      <w:tr>
        <w:tc>
          <w:tcPr>
            <w:vAlign w:val="center"/>
          </w:tcPr>
          <w:p>
            <w:r>
              <w:t xml:space="preserve">Anxiety, perfectionism, and confidence are impacting academic performance
Staff observations indicate increased anxiety, fear of being wrong, and perfectionism, which can result in shutdown behaviors and reluctance to
attempt challenging tasks. These factors negatively impact persistence,
confidence, and assessment readiness.</w:t>
            </w:r>
          </w:p>
        </w:tc>
        <w:tc>
          <w:tcPr>
            <w:vAlign w:val="center"/>
          </w:tcPr>
          <w:p/>
        </w:tc>
        <w:tc>
          <w:tcPr>
            <w:vAlign w:val="center"/>
          </w:tcPr>
          <w:p>
            <w:r>
              <w:t xml:space="preserve">False</w:t>
            </w:r>
          </w:p>
        </w:tc>
      </w:tr>
      <w:tr>
        <w:tc>
          <w:tcPr>
            <w:vAlign w:val="center"/>
          </w:tcPr>
          <w:p>
            <w:r>
              <w:t xml:space="preserve">Inconsistent assessment preparation practices and a limited process-based instruction
Some assessment preparation practices in 24/25 prioritized answers and completion rather than developing stamina, strategies, and the cognitive
processes required for success. Strengthening consistent process-based instruction, teaching test-taking skills, and evidence-based responding is necessary for improved performance and student independence.</w:t>
            </w:r>
          </w:p>
        </w:tc>
        <w:tc>
          <w:tcPr>
            <w:vAlign w:val="center"/>
          </w:tcPr>
          <w:p/>
        </w:tc>
        <w:tc>
          <w:tcPr>
            <w:vAlign w:val="center"/>
          </w:tcPr>
          <w:p>
            <w:r>
              <w:t xml:space="preserve">False</w:t>
            </w:r>
          </w:p>
        </w:tc>
      </w:tr>
      <w:tr>
        <w:tc>
          <w:tcPr>
            <w:vAlign w:val="center"/>
          </w:tcPr>
          <w:p>
            <w:r>
              <w:t xml:space="preserve">Student mobility and transitions impacting readiness and continuity
High student mobility, including students enrolling after disruptions or entering significantly below grade level, creates challenges for maintaining
consistent readiness and pacing. Systems for rapid diagnostic screening, onboarding supports, and accelerated foundational skill interventions are
needed to reduce the impact of mobility on achievement and growth outcomes.</w:t>
            </w:r>
          </w:p>
        </w:tc>
        <w:tc>
          <w:tcPr>
            <w:vAlign w:val="center"/>
          </w:tcPr>
          <w:p/>
        </w:tc>
        <w:tc>
          <w:tcPr>
            <w:vAlign w:val="center"/>
          </w:tcPr>
          <w:p>
            <w:r>
              <w:t xml:space="preserve">False</w:t>
            </w:r>
          </w:p>
        </w:tc>
      </w:tr>
      <w:tr>
        <w:tc>
          <w:tcPr>
            <w:vAlign w:val="center"/>
          </w:tcPr>
          <w:p>
            <w:r>
              <w:t xml:space="preserve">Use a variety of assessments (including diagnostic, formative, and summative) to monitor student learning and adjust programs and instructional practices *</w:t>
            </w:r>
          </w:p>
        </w:tc>
        <w:tc>
          <w:tcPr>
            <w:vAlign w:val="center"/>
          </w:tcPr>
          <w:p/>
        </w:tc>
        <w:tc>
          <w:tcPr>
            <w:vAlign w:val="center"/>
          </w:tcPr>
          <w:p>
            <w:r>
              <w:t xml:space="preserve">False</w:t>
            </w:r>
          </w:p>
        </w:tc>
      </w:tr>
    </w:tbl>
    <w:p>
      <w:pPr>
        <w:pStyle w:val="Heading2"/>
      </w:pPr>
      <w:r>
        <w:t xml:space="preserve">Analyzing Strengths</w:t>
      </w:r>
    </w:p>
    <w:tbl>
      <w:tblPr>
        <w:tblStyle w:val="TableGrid"/>
        <w:tblW w:w="5000" w:type="pct"/>
      </w:tblPr>
      <w:tblGrid>
        <w:gridCol/>
        <w:gridCol/>
      </w:tblGrid>
      <w:tr>
        <w:tc>
          <w:tcPr>
            <w:vAlign w:val="center"/>
          </w:tcPr>
          <w:p>
            <w:r>
              <w:t xml:space="preserve">Analyzing Strengths</w:t>
            </w:r>
          </w:p>
        </w:tc>
        <w:tc>
          <w:tcPr>
            <w:vAlign w:val="center"/>
          </w:tcPr>
          <w:p>
            <w:r>
              <w:t xml:space="preserve">Discussion Points</w:t>
            </w:r>
          </w:p>
        </w:tc>
      </w:tr>
      <w:tr>
        <w:tc>
          <w:tcPr>
            <w:vAlign w:val="center"/>
          </w:tcPr>
          <w:p>
            <w:r>
              <w:t xml:space="preserve">We have new staff who are embracing their roles as teachers who want their students to learn and succeed.</w:t>
            </w:r>
          </w:p>
        </w:tc>
        <w:tc>
          <w:tcPr>
            <w:vAlign w:val="center"/>
          </w:tcPr>
          <w:p>
            <w:r>
              <w:t xml:space="preserve">We have extremely supportive teachers who know their students.</w:t>
            </w:r>
          </w:p>
        </w:tc>
      </w:tr>
      <w:tr>
        <w:tc>
          <w:tcPr>
            <w:vAlign w:val="center"/>
          </w:tcPr>
          <w:p>
            <w:r>
              <w:t xml:space="preserve">A strong mentoring program that has already contributed to improved test scores among newer staff
</w:t>
            </w:r>
          </w:p>
        </w:tc>
        <w:tc>
          <w:tcPr>
            <w:vAlign w:val="center"/>
          </w:tcPr>
          <w:p>
            <w:r>
              <w:t xml:space="preserve">These can impact because we have targeted support from curriculum and mentoring, which helps boost their confidence and expertise.</w:t>
            </w:r>
          </w:p>
        </w:tc>
      </w:tr>
      <w:tr>
        <w:tc>
          <w:tcPr>
            <w:vAlign w:val="center"/>
          </w:tcPr>
          <w:p>
            <w:r>
              <w:t xml:space="preserve">Fully implemented curriculum</w:t>
            </w:r>
          </w:p>
        </w:tc>
        <w:tc>
          <w:tcPr>
            <w:vAlign w:val="center"/>
          </w:tcPr>
          <w:p/>
        </w:tc>
      </w:tr>
      <w:tr>
        <w:tc>
          <w:tcPr>
            <w:vAlign w:val="center"/>
          </w:tcPr>
          <w:p>
            <w:r>
              <w:t xml:space="preserve">Enrichment opportunities provided during WIN</w:t>
            </w:r>
          </w:p>
        </w:tc>
        <w:tc>
          <w:tcPr>
            <w:vAlign w:val="center"/>
          </w:tcPr>
          <w:p/>
        </w:tc>
      </w:tr>
      <w:tr>
        <w:tc>
          <w:tcPr>
            <w:vAlign w:val="center"/>
          </w:tcPr>
          <w:p>
            <w:r>
              <w:t xml:space="preserve">We have established, consistent activities and programming to provide our students with career readiness.</w:t>
            </w:r>
          </w:p>
        </w:tc>
        <w:tc>
          <w:tcPr>
            <w:vAlign w:val="center"/>
          </w:tcPr>
          <w:p/>
        </w:tc>
      </w:tr>
      <w:tr>
        <w:tc>
          <w:tcPr>
            <w:vAlign w:val="center"/>
          </w:tcPr>
          <w:p>
            <w:r>
              <w:t xml:space="preserve">Increased instructional time and improved scheduling structures for core academics. 
The school increased instructional time for mathematics and improved scheduling structures to provide more consistent grade-level instruction. This creates greater opportunity for targeted skill development, more frequent practice, and more effective intervention supports, especially for students with foundational skill gaps.</w:t>
            </w:r>
          </w:p>
        </w:tc>
        <w:tc>
          <w:tcPr>
            <w:vAlign w:val="center"/>
          </w:tcPr>
          <w:p/>
        </w:tc>
      </w:tr>
      <w:tr>
        <w:tc>
          <w:tcPr>
            <w:vAlign w:val="center"/>
          </w:tcPr>
          <w:p>
            <w:r>
              <w:t xml:space="preserve">Curriculum development, alignment, and continued refinement across subject areas
Gettysburg Montessori has developed written curriculum across core subject areas and continues to refine and improve curriculum annually. The ongoing curriculum work supports instructional consistency and alignment to state standards. Curriculum work for the subject “writing” is planned for the
summer as part of continuing curriculum development and refinement.</w:t>
            </w:r>
          </w:p>
        </w:tc>
        <w:tc>
          <w:tcPr>
            <w:vAlign w:val="center"/>
          </w:tcPr>
          <w:p/>
        </w:tc>
      </w:tr>
      <w:tr>
        <w:tc>
          <w:tcPr>
            <w:vAlign w:val="center"/>
          </w:tcPr>
          <w:p>
            <w:r>
              <w:t xml:space="preserve">Targeted support systems benefiting economically disadvantaged students
The school maintains Title supports and intervention structures that provide additional academic services and access supports (including supports such as breakfast and learning resources). Economically disadvantaged student performance has demonstrated  relative strength in some historical Index
trends, indicating that these supports may serve as a strong leverage point for
future improvement and equity-focused growth.</w:t>
            </w:r>
          </w:p>
        </w:tc>
        <w:tc>
          <w:tcPr>
            <w:vAlign w:val="center"/>
          </w:tcPr>
          <w:p/>
        </w:tc>
      </w:tr>
      <w:tr>
        <w:tc>
          <w:tcPr>
            <w:vAlign w:val="center"/>
          </w:tcPr>
          <w:p>
            <w:r>
              <w:t xml:space="preserve">Strengthened staffing and instructional capacity
Staffing improvements and strengthened instructional capacity in early grades have contributed to stronger classroom routines and foundational readiness. Early grade improvement reduces later remediation needs, strengthens skill development over time, and supports sustained improvement in achievement and growth.</w:t>
            </w:r>
          </w:p>
        </w:tc>
        <w:tc>
          <w:tcPr>
            <w:vAlign w:val="center"/>
          </w:tcPr>
          <w:p>
            <w:r>
              <w:t xml:space="preserve">These can impact because we have targeted support from curriculum and mentoring, which helps boost their confidence and expertise.</w:t>
            </w:r>
          </w:p>
        </w:tc>
      </w:tr>
      <w:tr>
        <w:tc>
          <w:tcPr>
            <w:vAlign w:val="center"/>
          </w:tcPr>
          <w:p>
            <w:r>
              <w:t xml:space="preserve">Increased instructional time and improved scheduling structures for core academics.
The school increased instructional time for mathematics and improved scheduling structures to provide more consistent grade-level instruction.
This creates greater opportunity for targeted skill development, more frequent practice, and more effective intervention supports, especially for students with foundational skill gaps.</w:t>
            </w:r>
          </w:p>
        </w:tc>
        <w:tc>
          <w:tcPr>
            <w:vAlign w:val="center"/>
          </w:tcPr>
          <w:p/>
        </w:tc>
      </w:tr>
      <w:tr>
        <w:tc>
          <w:tcPr>
            <w:vAlign w:val="center"/>
          </w:tcPr>
          <w:p>
            <w:r>
              <w:t xml:space="preserve">Curriculum development, alignment, and continued refinement across
subject areas
Gettysburg Montessori has developed written curriculum across core subject
areas and continues to refine and improve curriculum annually. The ongoing
curriculum work supports instructional consistency and alignment to state
standards. Curriculum work for the subject “writing” is planned for the
summer as part of continuing curriculum development and refinement.</w:t>
            </w:r>
          </w:p>
        </w:tc>
        <w:tc>
          <w:tcPr>
            <w:vAlign w:val="center"/>
          </w:tcPr>
          <w:p/>
        </w:tc>
      </w:tr>
      <w:tr>
        <w:tc>
          <w:tcPr>
            <w:vAlign w:val="center"/>
          </w:tcPr>
          <w:p>
            <w:r>
              <w:t xml:space="preserve">Strong foundational literacy and writing supports in K–3
The school has implemented strong early literacy supports and structured
writing routines that strengthen foundational skills and increase student
willingness to attempt literacy tasks. These efforts build long-term readiness
for grade-level expectations and contribute to improved future performance
in ELA achievement and growth indicators.</w:t>
            </w:r>
          </w:p>
        </w:tc>
        <w:tc>
          <w:tcPr>
            <w:vAlign w:val="center"/>
          </w:tcPr>
          <w:p>
            <w:r>
              <w:t xml:space="preserve">The school has implemented strong early literacy supports and structured writing routines that strengthen foundational skills and increase student willingness to attempt literacy tasks. These efforts build long term readiness for grade level expectations and contribute to improved future performance in ELA achievement and growth indicators.</w:t>
            </w:r>
          </w:p>
        </w:tc>
      </w:tr>
      <w:tr>
        <w:tc>
          <w:tcPr>
            <w:vAlign w:val="center"/>
          </w:tcPr>
          <w:p>
            <w:r>
              <w:t xml:space="preserve">Provide frequent, timely, and systematic feedback and support on instructional practices</w:t>
            </w:r>
          </w:p>
        </w:tc>
        <w:tc>
          <w:tcPr>
            <w:vAlign w:val="center"/>
          </w:tcPr>
          <w:p>
            <w:r>
              <w:t xml:space="preserve">This will help the students see their little victories and may increase their confidence.</w:t>
            </w:r>
          </w:p>
        </w:tc>
      </w:tr>
      <w:tr>
        <w:tc>
          <w:tcPr>
            <w:vAlign w:val="center"/>
          </w:tcPr>
          <w:p>
            <w:r>
              <w:t xml:space="preserve">Foster a culture of high expectations for success for all students, educators, families, and community members</w:t>
            </w:r>
          </w:p>
        </w:tc>
        <w:tc>
          <w:tcPr>
            <w:vAlign w:val="center"/>
          </w:tcPr>
          <w:p>
            <w:r>
              <w:t xml:space="preserve">This would support students struggling with confidence, anxiety, and stamina.</w:t>
            </w:r>
          </w:p>
        </w:tc>
      </w:tr>
      <w:tr>
        <w:tc>
          <w:tcPr>
            <w:vAlign w:val="center"/>
          </w:tcPr>
          <w:p>
            <w:r>
              <w:t xml:space="preserve">Monitor and evaluate the impact of professional learning on staff practices and student learning</w:t>
            </w:r>
          </w:p>
        </w:tc>
        <w:tc>
          <w:tcPr>
            <w:vAlign w:val="center"/>
          </w:tcPr>
          <w:p/>
        </w:tc>
      </w:tr>
    </w:tbl>
    <w:p>
      <w:pPr>
        <w:pStyle w:val="Heading2"/>
      </w:pPr>
      <w:r>
        <w:t xml:space="preserve">Priority Challenges</w:t>
      </w:r>
    </w:p>
    <w:tbl>
      <w:tblPr>
        <w:tblStyle w:val="TableGrid"/>
        <w:tblW w:w="5000" w:type="pct"/>
      </w:tblPr>
      <w:tblGrid>
        <w:gridCol/>
        <w:gridCol/>
      </w:tblGrid>
      <w:tr>
        <w:tc>
          <w:tcPr>
            <w:vAlign w:val="center"/>
          </w:tcPr>
          <w:p>
            <w:r>
              <w:t xml:space="preserve">Analyzing Priority Challenges</w:t>
            </w:r>
          </w:p>
        </w:tc>
        <w:tc>
          <w:tcPr>
            <w:vAlign w:val="center"/>
          </w:tcPr>
          <w:p>
            <w:r>
              <w:t xml:space="preserve">Priority Statements</w:t>
            </w:r>
          </w:p>
        </w:tc>
      </w:tr>
      <w:tr>
        <w:tc>
          <w:tcPr>
            <w:vAlign w:val="center"/>
          </w:tcPr>
          <w:p/>
        </w:tc>
        <w:tc>
          <w:tcPr>
            <w:vAlign w:val="center"/>
          </w:tcPr>
          <w:p>
            <w:r>
              <w:t xml:space="preserve">Fluency remains an area for improvement.</w:t>
            </w:r>
          </w:p>
        </w:tc>
      </w:tr>
      <w:tr>
        <w:tc>
          <w:tcPr>
            <w:vAlign w:val="center"/>
          </w:tcPr>
          <w:p/>
        </w:tc>
        <w:tc>
          <w:tcPr>
            <w:vAlign w:val="center"/>
          </w:tcPr>
          <w:p>
            <w:r>
              <w:t xml:space="preserve">Weaknesses in Numbers, Operations, and Algebraic Concepts, are often rooted in a lack of foundational conceptual understanding. Rather than just procedural fluency, students struggle with the underlying, interconnected concepts.</w:t>
            </w:r>
          </w:p>
        </w:tc>
      </w:tr>
      <w:tr>
        <w:tc>
          <w:tcPr>
            <w:vAlign w:val="center"/>
          </w:tcPr>
          <w:p/>
        </w:tc>
        <w:tc>
          <w:tcPr>
            <w:vAlign w:val="center"/>
          </w:tcPr>
          <w:p>
            <w:r>
              <w:t xml:space="preserve">Student stamina, persistence, and effective test-taking behaviors. 
Students demonstrate reduced stamina for sustained reading, writing, and multi-step (written) problem solving. Students often struggle to persist through academic tasks requiring evidence-based responses or extended attention. Some students rush through assessments or disengage, which negatively impacts proficiency and growth outcomes.</w:t>
            </w:r>
          </w:p>
        </w:tc>
      </w:tr>
      <w:tr>
        <w:tc>
          <w:tcPr>
            <w:vAlign w:val="center"/>
          </w:tcPr>
          <w:p/>
        </w:tc>
        <w:tc>
          <w:tcPr>
            <w:vAlign w:val="center"/>
          </w:tcPr>
          <w:p>
            <w:r>
              <w:t xml:space="preserve">Provide support through the use of feedback to allow students to see successes and increase confidence, lessening anxiety.</w:t>
            </w:r>
          </w:p>
        </w:tc>
      </w:tr>
    </w:tbl>
    <w:p>
      <w:r>
        <w:br/>
      </w:r>
      <w:r>
        <w:br/>
      </w:r>
      <w:r>
        <w:br/>
      </w:r>
      <w:r>
        <w:br/>
      </w:r>
      <w:r>
        <w:br/>
      </w:r>
      <w:r>
        <w:br/>
      </w:r>
      <w:r>
        <w:br w:type="page"/>
      </w:r>
      <w:r>
        <w:lastRenderedPageBreak/>
      </w:r>
    </w:p>
    <w:p>
      <w:pPr>
        <w:pStyle w:val="Heading1"/>
      </w:pPr>
      <w:r>
        <w:t xml:space="preserve">Goal Setting</w:t>
      </w:r>
    </w:p>
    <w:p>
      <w:pPr>
        <w:pStyle w:val="Heading2"/>
      </w:pPr>
      <w:r>
        <w:t xml:space="preserve">Priority: Provide support through the use of feedback to allow students to see successes and increase confidence, lessening anxiety.</w:t>
      </w:r>
    </w:p>
    <w:tbl>
      <w:tblPr>
        <w:tblStyle w:val="TableGrid"/>
        <w:tblW w:w="5000" w:type="pct"/>
      </w:tblPr>
      <w:tblGrid>
        <w:gridCol/>
        <w:gridCol/>
        <w:gridCol/>
      </w:tblGrid>
      <w:tr>
        <w:tc>
          <w:tcPr>
            <w:gridSpan w:val="3"/>
            <w:vAlign w:val="center"/>
          </w:tcPr>
          <w:p>
            <w:r>
              <w:rPr>
                <w:b/>
              </w:rPr>
              <w:t xml:space="preserve">Outcome Category</w:t>
            </w:r>
          </w:p>
        </w:tc>
      </w:tr>
      <w:tr>
        <w:tc>
          <w:tcPr>
            <w:gridSpan w:val="3"/>
            <w:vAlign w:val="center"/>
          </w:tcPr>
          <w:p>
            <w:r>
              <w:t xml:space="preserve">Other                                            </w:t>
            </w:r>
          </w:p>
        </w:tc>
      </w:tr>
      <w:tr>
        <w:tc>
          <w:tcPr>
            <w:gridSpan w:val="3"/>
            <w:vAlign w:val="center"/>
          </w:tcPr>
          <w:p>
            <w:r>
              <w:rPr>
                <w:b/>
              </w:rPr>
              <w:t xml:space="preserve">Measurable Goal Statement (Smart Goal)</w:t>
            </w:r>
          </w:p>
        </w:tc>
      </w:tr>
      <w:tr>
        <w:tc>
          <w:tcPr>
            <w:gridSpan w:val="3"/>
            <w:vAlign w:val="center"/>
          </w:tcPr>
          <w:p>
            <w:r>
              <w:t xml:space="preserve">By the end of the school year, classroom and support teachers will have met with each student for a minimum of four conferences to discuss academic successes and progress toward grade-level expectations.</w:t>
            </w:r>
          </w:p>
        </w:tc>
      </w:tr>
      <w:tr>
        <w:tc>
          <w:tcPr>
            <w:gridSpan w:val="3"/>
            <w:vAlign w:val="center"/>
          </w:tcPr>
          <w:p>
            <w:r>
              <w:rPr>
                <w:b/>
              </w:rPr>
              <w:t xml:space="preserve">Measurable Goal Nickname (35 Character Max)</w:t>
            </w:r>
          </w:p>
        </w:tc>
      </w:tr>
      <w:tr>
        <w:tc>
          <w:tcPr>
            <w:gridSpan w:val="3"/>
            <w:vAlign w:val="center"/>
          </w:tcPr>
          <w:p>
            <w:r>
              <w:t xml:space="preserve">Feedback</w:t>
            </w:r>
          </w:p>
        </w:tc>
      </w:tr>
      <w:tr>
        <w:tc>
          <w:tcPr>
            <w:vAlign w:val="center"/>
          </w:tcPr>
          <w:p>
            <w:r>
              <w:rPr>
                <w:b/>
              </w:rPr>
              <w:t xml:space="preserve">Target Year 1</w:t>
            </w:r>
          </w:p>
        </w:tc>
        <w:tc>
          <w:tcPr>
            <w:vAlign w:val="center"/>
          </w:tcPr>
          <w:p>
            <w:r>
              <w:rPr>
                <w:b/>
              </w:rPr>
              <w:t xml:space="preserve">Target Year 2</w:t>
            </w:r>
          </w:p>
        </w:tc>
        <w:tc>
          <w:tcPr>
            <w:vAlign w:val="center"/>
          </w:tcPr>
          <w:p>
            <w:r>
              <w:rPr>
                <w:b/>
              </w:rPr>
              <w:t xml:space="preserve">Target Year 3</w:t>
            </w:r>
          </w:p>
        </w:tc>
      </w:tr>
      <w:tr>
        <w:tc>
          <w:tcPr>
            <w:vAlign w:val="center"/>
          </w:tcPr>
          <w:p>
            <w:r>
              <w:t xml:space="preserve">By the end of the school year classroom and support teachers will have met with each students for a minimum of two conferences to discuss academic successes, progress toward grade-level expectations.</w:t>
            </w:r>
          </w:p>
        </w:tc>
        <w:tc>
          <w:tcPr>
            <w:vAlign w:val="center"/>
          </w:tcPr>
          <w:p>
            <w:r>
              <w:t xml:space="preserve">By the end of the school year classroom and support teachers will have met with each students for a minimum of three conferences to discuss academic successes, progress toward grade-level expectations.</w:t>
            </w:r>
          </w:p>
        </w:tc>
        <w:tc>
          <w:tcPr>
            <w:vAlign w:val="center"/>
          </w:tcPr>
          <w:p>
            <w:r>
              <w:t xml:space="preserve">By the end of the school year, classroom and support teachers will have met with each student for a minimum of four conferences to discuss academic successes and progress toward grade-level expectations.</w:t>
            </w:r>
          </w:p>
        </w:tc>
      </w:tr>
    </w:tbl>
    <w:p/>
    <w:tbl>
      <w:tblPr>
        <w:tblStyle w:val="TableGrid"/>
        <w:tblW w:w="5000" w:type="pct"/>
      </w:tblPr>
      <w:tblGrid>
        <w:gridCol/>
        <w:gridCol/>
        <w:gridCol/>
      </w:tblGrid>
      <w:tr>
        <w:tc>
          <w:tcPr>
            <w:gridSpan w:val="3"/>
            <w:vAlign w:val="center"/>
          </w:tcPr>
          <w:p>
            <w:r>
              <w:rPr>
                <w:b/>
              </w:rPr>
              <w:t xml:space="preserve">Outcome Category</w:t>
            </w:r>
          </w:p>
        </w:tc>
      </w:tr>
      <w:tr>
        <w:tc>
          <w:tcPr>
            <w:gridSpan w:val="3"/>
            <w:vAlign w:val="center"/>
          </w:tcPr>
          <w:p>
            <w:r>
              <w:t xml:space="preserve">Social emotional learning                                            </w:t>
            </w:r>
          </w:p>
        </w:tc>
      </w:tr>
      <w:tr>
        <w:tc>
          <w:tcPr>
            <w:gridSpan w:val="3"/>
            <w:vAlign w:val="center"/>
          </w:tcPr>
          <w:p>
            <w:r>
              <w:rPr>
                <w:b/>
              </w:rPr>
              <w:t xml:space="preserve">Measurable Goal Statement (Smart Goal)</w:t>
            </w:r>
          </w:p>
        </w:tc>
      </w:tr>
      <w:tr>
        <w:tc>
          <w:tcPr>
            <w:gridSpan w:val="3"/>
            <w:vAlign w:val="center"/>
          </w:tcPr>
          <w:p>
            <w:r>
              <w:t xml:space="preserve">Through the use of a survey at the beginning, middle, and end of the year, 80% students will demonstrate an increase in academic confidence and overall reduction of performance stress by the end of the school year.</w:t>
            </w:r>
          </w:p>
        </w:tc>
      </w:tr>
      <w:tr>
        <w:tc>
          <w:tcPr>
            <w:gridSpan w:val="3"/>
            <w:vAlign w:val="center"/>
          </w:tcPr>
          <w:p>
            <w:r>
              <w:rPr>
                <w:b/>
              </w:rPr>
              <w:t xml:space="preserve">Measurable Goal Nickname (35 Character Max)</w:t>
            </w:r>
          </w:p>
        </w:tc>
      </w:tr>
      <w:tr>
        <w:tc>
          <w:tcPr>
            <w:gridSpan w:val="3"/>
            <w:vAlign w:val="center"/>
          </w:tcPr>
          <w:p>
            <w:r>
              <w:t xml:space="preserve">Confidence, Don't Worry</w:t>
            </w:r>
          </w:p>
        </w:tc>
      </w:tr>
      <w:tr>
        <w:tc>
          <w:tcPr>
            <w:vAlign w:val="center"/>
          </w:tcPr>
          <w:p>
            <w:r>
              <w:rPr>
                <w:b/>
              </w:rPr>
              <w:t xml:space="preserve">Target Year 1</w:t>
            </w:r>
          </w:p>
        </w:tc>
        <w:tc>
          <w:tcPr>
            <w:vAlign w:val="center"/>
          </w:tcPr>
          <w:p>
            <w:r>
              <w:rPr>
                <w:b/>
              </w:rPr>
              <w:t xml:space="preserve">Target Year 2</w:t>
            </w:r>
          </w:p>
        </w:tc>
        <w:tc>
          <w:tcPr>
            <w:vAlign w:val="center"/>
          </w:tcPr>
          <w:p>
            <w:r>
              <w:rPr>
                <w:b/>
              </w:rPr>
              <w:t xml:space="preserve">Target Year 3</w:t>
            </w:r>
          </w:p>
        </w:tc>
      </w:tr>
      <w:tr>
        <w:tc>
          <w:tcPr>
            <w:vAlign w:val="center"/>
          </w:tcPr>
          <w:p>
            <w:r>
              <w:t xml:space="preserve">Through the use of a survey at the beginning, middle and end of year, 60% students will demonstrate an increase in academic confidence and overall reduction of performance stress by the end of the school year.</w:t>
            </w:r>
          </w:p>
        </w:tc>
        <w:tc>
          <w:tcPr>
            <w:vAlign w:val="center"/>
          </w:tcPr>
          <w:p>
            <w:r>
              <w:t xml:space="preserve">Through the use of a survey at the beginning, middle and end of year, 70% students will demonstrate an increase in academic confidence and overall reduction of performance stress by the end of the school year.</w:t>
            </w:r>
          </w:p>
        </w:tc>
        <w:tc>
          <w:tcPr>
            <w:vAlign w:val="center"/>
          </w:tcPr>
          <w:p>
            <w:r>
              <w:t xml:space="preserve">Through the use of a survey at the beginning, middle, and end of the year, 80% students will demonstrate an increase in academic confidence and overall reduction of performance stress by the end of the school year.</w:t>
            </w:r>
          </w:p>
        </w:tc>
      </w:tr>
    </w:tbl>
    <w:p>
      <w:pPr>
        <w:pStyle w:val="Heading2"/>
      </w:pPr>
      <w:r>
        <w:t xml:space="preserve">Priority: Weaknesses in Numbers, Operations, and Algebraic Concepts, are often rooted in a lack of foundational conceptual understanding. Rather than just procedural fluency, students struggle with the underlying, interconnected concepts. </w:t>
      </w:r>
    </w:p>
    <w:tbl>
      <w:tblPr>
        <w:tblStyle w:val="TableGrid"/>
        <w:tblW w:w="5000" w:type="pct"/>
      </w:tblPr>
      <w:tblGrid>
        <w:gridCol/>
        <w:gridCol/>
        <w:gridCol/>
      </w:tblGrid>
      <w:tr>
        <w:tc>
          <w:tcPr>
            <w:gridSpan w:val="3"/>
            <w:vAlign w:val="center"/>
          </w:tcPr>
          <w:p>
            <w:r>
              <w:rPr>
                <w:b/>
              </w:rPr>
              <w:t xml:space="preserve">Outcome Category</w:t>
            </w:r>
          </w:p>
        </w:tc>
      </w:tr>
      <w:tr>
        <w:tc>
          <w:tcPr>
            <w:gridSpan w:val="3"/>
            <w:vAlign w:val="center"/>
          </w:tcPr>
          <w:p>
            <w:r>
              <w:t xml:space="preserve">Mathematics                                            </w:t>
            </w:r>
          </w:p>
        </w:tc>
      </w:tr>
      <w:tr>
        <w:tc>
          <w:tcPr>
            <w:gridSpan w:val="3"/>
            <w:vAlign w:val="center"/>
          </w:tcPr>
          <w:p>
            <w:r>
              <w:rPr>
                <w:b/>
              </w:rPr>
              <w:t xml:space="preserve">Measurable Goal Statement (Smart Goal)</w:t>
            </w:r>
          </w:p>
        </w:tc>
      </w:tr>
      <w:tr>
        <w:tc>
          <w:tcPr>
            <w:gridSpan w:val="3"/>
            <w:vAlign w:val="center"/>
          </w:tcPr>
          <w:p>
            <w:r>
              <w:t xml:space="preserve">Utilizing the Pathways of Progress, 80% K-2 students will demonstrate typical or above typical progress toward grade-specific goals in Numbers, Operations, and Algebraic Concepts by the end of each academic year.</w:t>
            </w:r>
          </w:p>
        </w:tc>
      </w:tr>
      <w:tr>
        <w:tc>
          <w:tcPr>
            <w:gridSpan w:val="3"/>
            <w:vAlign w:val="center"/>
          </w:tcPr>
          <w:p>
            <w:r>
              <w:rPr>
                <w:b/>
              </w:rPr>
              <w:t xml:space="preserve">Measurable Goal Nickname (35 Character Max)</w:t>
            </w:r>
          </w:p>
        </w:tc>
      </w:tr>
      <w:tr>
        <w:tc>
          <w:tcPr>
            <w:gridSpan w:val="3"/>
            <w:vAlign w:val="center"/>
          </w:tcPr>
          <w:p>
            <w:r>
              <w:t xml:space="preserve">Numbers, Operations, and Algebraic Concepts</w:t>
            </w:r>
          </w:p>
        </w:tc>
      </w:tr>
      <w:tr>
        <w:tc>
          <w:tcPr>
            <w:vAlign w:val="center"/>
          </w:tcPr>
          <w:p>
            <w:r>
              <w:rPr>
                <w:b/>
              </w:rPr>
              <w:t xml:space="preserve">Target Year 1</w:t>
            </w:r>
          </w:p>
        </w:tc>
        <w:tc>
          <w:tcPr>
            <w:vAlign w:val="center"/>
          </w:tcPr>
          <w:p>
            <w:r>
              <w:rPr>
                <w:b/>
              </w:rPr>
              <w:t xml:space="preserve">Target Year 2</w:t>
            </w:r>
          </w:p>
        </w:tc>
        <w:tc>
          <w:tcPr>
            <w:vAlign w:val="center"/>
          </w:tcPr>
          <w:p>
            <w:r>
              <w:rPr>
                <w:b/>
              </w:rPr>
              <w:t xml:space="preserve">Target Year 3</w:t>
            </w:r>
          </w:p>
        </w:tc>
      </w:tr>
      <w:tr>
        <w:tc>
          <w:tcPr>
            <w:vAlign w:val="center"/>
          </w:tcPr>
          <w:p>
            <w:r>
              <w:t xml:space="preserve">Utilizing the Pathways of Progress, 60% K-2 students will demonstrate typical or above typical progress toward grade-specific goals in Numbers, Operations, and Algebraic Concepts by the end of each academic year.</w:t>
            </w:r>
          </w:p>
        </w:tc>
        <w:tc>
          <w:tcPr>
            <w:vAlign w:val="center"/>
          </w:tcPr>
          <w:p>
            <w:r>
              <w:t xml:space="preserve">Utilizing the Pathways of Progress, 70% K-2 students will demonstrate typical or above typical progress toward grade-specific goals in Numbers, Operations, and Algebraic Concepts by the end of each academic year.</w:t>
            </w:r>
          </w:p>
        </w:tc>
        <w:tc>
          <w:tcPr>
            <w:vAlign w:val="center"/>
          </w:tcPr>
          <w:p>
            <w:r>
              <w:t xml:space="preserve">Utilizing the Pathways of Progress, 80% K-2 students will demonstrate typical or above typical progress toward grade-specific goals in Numbers, Operations, and Algebraic Concepts by the end of each academic year.</w:t>
            </w:r>
          </w:p>
        </w:tc>
      </w:tr>
    </w:tbl>
    <w:p>
      <w:pPr>
        <w:pStyle w:val="Heading2"/>
      </w:pPr>
      <w:r>
        <w:t xml:space="preserve">Priority: Student stamina, persistence, and effective test-taking behaviors. 
Students demonstrate reduced stamina for sustained reading, writing, and multi-step (written) problem solving. Students often struggle to persist through academic tasks requiring evidence-based responses or extended attention. Some students rush through assessments or disengage, which negatively impacts proficiency and growth outcomes.</w:t>
      </w:r>
    </w:p>
    <w:tbl>
      <w:tblPr>
        <w:tblStyle w:val="TableGrid"/>
        <w:tblW w:w="5000" w:type="pct"/>
      </w:tblPr>
      <w:tblGrid>
        <w:gridCol/>
        <w:gridCol/>
        <w:gridCol/>
      </w:tblGrid>
      <w:tr>
        <w:tc>
          <w:tcPr>
            <w:gridSpan w:val="3"/>
            <w:vAlign w:val="center"/>
          </w:tcPr>
          <w:p>
            <w:r>
              <w:rPr>
                <w:b/>
              </w:rPr>
              <w:t xml:space="preserve">Outcome Category</w:t>
            </w:r>
          </w:p>
        </w:tc>
      </w:tr>
      <w:tr>
        <w:tc>
          <w:tcPr>
            <w:gridSpan w:val="3"/>
            <w:vAlign w:val="center"/>
          </w:tcPr>
          <w:p>
            <w:r>
              <w:t xml:space="preserve">Other                                            </w:t>
            </w:r>
          </w:p>
        </w:tc>
      </w:tr>
      <w:tr>
        <w:tc>
          <w:tcPr>
            <w:gridSpan w:val="3"/>
            <w:vAlign w:val="center"/>
          </w:tcPr>
          <w:p>
            <w:r>
              <w:rPr>
                <w:b/>
              </w:rPr>
              <w:t xml:space="preserve">Measurable Goal Statement (Smart Goal)</w:t>
            </w:r>
          </w:p>
        </w:tc>
      </w:tr>
      <w:tr>
        <w:tc>
          <w:tcPr>
            <w:gridSpan w:val="3"/>
            <w:vAlign w:val="center"/>
          </w:tcPr>
          <w:p>
            <w:r>
              <w:t xml:space="preserve">Teachers will report 80% of students will demonstrate increased stamina and intrinsic motivation when supported with evidence-based strategies as measured through observation and classroom-based data by the end of the school year.</w:t>
            </w:r>
          </w:p>
        </w:tc>
      </w:tr>
      <w:tr>
        <w:tc>
          <w:tcPr>
            <w:gridSpan w:val="3"/>
            <w:vAlign w:val="center"/>
          </w:tcPr>
          <w:p>
            <w:r>
              <w:rPr>
                <w:b/>
              </w:rPr>
              <w:t xml:space="preserve">Measurable Goal Nickname (35 Character Max)</w:t>
            </w:r>
          </w:p>
        </w:tc>
      </w:tr>
      <w:tr>
        <w:tc>
          <w:tcPr>
            <w:gridSpan w:val="3"/>
            <w:vAlign w:val="center"/>
          </w:tcPr>
          <w:p>
            <w:r>
              <w:t xml:space="preserve">Teachers' Response on Stamina and Motivation</w:t>
            </w:r>
          </w:p>
        </w:tc>
      </w:tr>
      <w:tr>
        <w:tc>
          <w:tcPr>
            <w:vAlign w:val="center"/>
          </w:tcPr>
          <w:p>
            <w:r>
              <w:rPr>
                <w:b/>
              </w:rPr>
              <w:t xml:space="preserve">Target Year 1</w:t>
            </w:r>
          </w:p>
        </w:tc>
        <w:tc>
          <w:tcPr>
            <w:vAlign w:val="center"/>
          </w:tcPr>
          <w:p>
            <w:r>
              <w:rPr>
                <w:b/>
              </w:rPr>
              <w:t xml:space="preserve">Target Year 2</w:t>
            </w:r>
          </w:p>
        </w:tc>
        <w:tc>
          <w:tcPr>
            <w:vAlign w:val="center"/>
          </w:tcPr>
          <w:p>
            <w:r>
              <w:rPr>
                <w:b/>
              </w:rPr>
              <w:t xml:space="preserve">Target Year 3</w:t>
            </w:r>
          </w:p>
        </w:tc>
      </w:tr>
      <w:tr>
        <w:tc>
          <w:tcPr>
            <w:vAlign w:val="center"/>
          </w:tcPr>
          <w:p>
            <w:r>
              <w:t xml:space="preserve">60% of students will demonstrate increased stamina and intrinsic motivation when supported with evidence based strategies as measured through observation and classroom-based data by the end of the school year.</w:t>
            </w:r>
          </w:p>
        </w:tc>
        <w:tc>
          <w:tcPr>
            <w:vAlign w:val="center"/>
          </w:tcPr>
          <w:p>
            <w:r>
              <w:t xml:space="preserve">70% of students will demonstrate increased stamina and intrinsic motivation when supported with evidence based strategies as measured through observation and classroom-based data by the end of the school year.</w:t>
            </w:r>
          </w:p>
        </w:tc>
        <w:tc>
          <w:tcPr>
            <w:vAlign w:val="center"/>
          </w:tcPr>
          <w:p>
            <w:r>
              <w:t xml:space="preserve">Teachers will report 80% of students will demonstrate increased stamina and intrinsic motivation when supported with evidence-based strategies as measured through observation and classroom-based data by the end of the school year.</w:t>
            </w:r>
          </w:p>
        </w:tc>
      </w:tr>
    </w:tbl>
    <w:p/>
    <w:tbl>
      <w:tblPr>
        <w:tblStyle w:val="TableGrid"/>
        <w:tblW w:w="5000" w:type="pct"/>
      </w:tblPr>
      <w:tblGrid>
        <w:gridCol/>
        <w:gridCol/>
        <w:gridCol/>
      </w:tblGrid>
      <w:tr>
        <w:tc>
          <w:tcPr>
            <w:gridSpan w:val="3"/>
            <w:vAlign w:val="center"/>
          </w:tcPr>
          <w:p>
            <w:r>
              <w:rPr>
                <w:b/>
              </w:rPr>
              <w:t xml:space="preserve">Outcome Category</w:t>
            </w:r>
          </w:p>
        </w:tc>
      </w:tr>
      <w:tr>
        <w:tc>
          <w:tcPr>
            <w:gridSpan w:val="3"/>
            <w:vAlign w:val="center"/>
          </w:tcPr>
          <w:p>
            <w:r>
              <w:t xml:space="preserve">Other                                            </w:t>
            </w:r>
          </w:p>
        </w:tc>
      </w:tr>
      <w:tr>
        <w:tc>
          <w:tcPr>
            <w:gridSpan w:val="3"/>
            <w:vAlign w:val="center"/>
          </w:tcPr>
          <w:p>
            <w:r>
              <w:rPr>
                <w:b/>
              </w:rPr>
              <w:t xml:space="preserve">Measurable Goal Statement (Smart Goal)</w:t>
            </w:r>
          </w:p>
        </w:tc>
      </w:tr>
      <w:tr>
        <w:tc>
          <w:tcPr>
            <w:gridSpan w:val="3"/>
            <w:vAlign w:val="center"/>
          </w:tcPr>
          <w:p>
            <w:r>
              <w:t xml:space="preserve">80% of students in Grades 3-6 will self-report an increase in motivation, academic buy-in, and student ownership of learning through the use of a minimum of three surveys and teacher-facilitated student-led goals by the end of the school year.</w:t>
            </w:r>
          </w:p>
        </w:tc>
      </w:tr>
      <w:tr>
        <w:tc>
          <w:tcPr>
            <w:gridSpan w:val="3"/>
            <w:vAlign w:val="center"/>
          </w:tcPr>
          <w:p>
            <w:r>
              <w:rPr>
                <w:b/>
              </w:rPr>
              <w:t xml:space="preserve">Measurable Goal Nickname (35 Character Max)</w:t>
            </w:r>
          </w:p>
        </w:tc>
      </w:tr>
      <w:tr>
        <w:tc>
          <w:tcPr>
            <w:gridSpan w:val="3"/>
            <w:vAlign w:val="center"/>
          </w:tcPr>
          <w:p>
            <w:r>
              <w:t xml:space="preserve">Love of Learning Grades 3-6</w:t>
            </w:r>
          </w:p>
        </w:tc>
      </w:tr>
      <w:tr>
        <w:tc>
          <w:tcPr>
            <w:vAlign w:val="center"/>
          </w:tcPr>
          <w:p>
            <w:r>
              <w:rPr>
                <w:b/>
              </w:rPr>
              <w:t xml:space="preserve">Target Year 1</w:t>
            </w:r>
          </w:p>
        </w:tc>
        <w:tc>
          <w:tcPr>
            <w:vAlign w:val="center"/>
          </w:tcPr>
          <w:p>
            <w:r>
              <w:rPr>
                <w:b/>
              </w:rPr>
              <w:t xml:space="preserve">Target Year 2</w:t>
            </w:r>
          </w:p>
        </w:tc>
        <w:tc>
          <w:tcPr>
            <w:vAlign w:val="center"/>
          </w:tcPr>
          <w:p>
            <w:r>
              <w:rPr>
                <w:b/>
              </w:rPr>
              <w:t xml:space="preserve">Target Year 3</w:t>
            </w:r>
          </w:p>
        </w:tc>
      </w:tr>
      <w:tr>
        <w:tc>
          <w:tcPr>
            <w:vAlign w:val="center"/>
          </w:tcPr>
          <w:p>
            <w:r>
              <w:t xml:space="preserve">60% of students in Grades 3-6 will self-report an increase in motivation, academic buy-in, and student ownership of learning through the use of a minimum of three surveys and teacher-facilitated student-led goals by the end of the school year.</w:t>
            </w:r>
          </w:p>
        </w:tc>
        <w:tc>
          <w:tcPr>
            <w:vAlign w:val="center"/>
          </w:tcPr>
          <w:p>
            <w:r>
              <w:t xml:space="preserve">70% of students in Grades 3-6 will self-report an increase in motivation, academic buy-in, and student ownership of learning through the use of a minimum of three surveys and teacher-facilitated student-led goals by the end of the school year.</w:t>
            </w:r>
          </w:p>
        </w:tc>
        <w:tc>
          <w:tcPr>
            <w:vAlign w:val="center"/>
          </w:tcPr>
          <w:p>
            <w:r>
              <w:t xml:space="preserve">80% of students in Grades 3-6 will self-report an increase in motivation, academic buy-in, and student ownership of learning through the use of a minimum of three surveys and teacher-facilitated student-led goals by the end of the school year.</w:t>
            </w:r>
          </w:p>
        </w:tc>
      </w:tr>
    </w:tbl>
    <w:p>
      <w:pPr>
        <w:pStyle w:val="Heading2"/>
      </w:pPr>
      <w:r>
        <w:t xml:space="preserve">Priority: Fluency remains an area for improvement.</w:t>
      </w:r>
    </w:p>
    <w:tbl>
      <w:tblPr>
        <w:tblStyle w:val="TableGrid"/>
        <w:tblW w:w="5000" w:type="pct"/>
      </w:tblPr>
      <w:tblGrid>
        <w:gridCol/>
        <w:gridCol/>
        <w:gridCol/>
      </w:tblGrid>
      <w:tr>
        <w:tc>
          <w:tcPr>
            <w:gridSpan w:val="3"/>
            <w:vAlign w:val="center"/>
          </w:tcPr>
          <w:p>
            <w:r>
              <w:rPr>
                <w:b/>
              </w:rPr>
              <w:t xml:space="preserve">Outcome Category</w:t>
            </w:r>
          </w:p>
        </w:tc>
      </w:tr>
      <w:tr>
        <w:tc>
          <w:tcPr>
            <w:gridSpan w:val="3"/>
            <w:vAlign w:val="center"/>
          </w:tcPr>
          <w:p>
            <w:r>
              <w:t xml:space="preserve">English Language Arts                                            </w:t>
            </w:r>
          </w:p>
        </w:tc>
      </w:tr>
      <w:tr>
        <w:tc>
          <w:tcPr>
            <w:gridSpan w:val="3"/>
            <w:vAlign w:val="center"/>
          </w:tcPr>
          <w:p>
            <w:r>
              <w:rPr>
                <w:b/>
              </w:rPr>
              <w:t xml:space="preserve">Measurable Goal Statement (Smart Goal)</w:t>
            </w:r>
          </w:p>
        </w:tc>
      </w:tr>
      <w:tr>
        <w:tc>
          <w:tcPr>
            <w:gridSpan w:val="3"/>
            <w:vAlign w:val="center"/>
          </w:tcPr>
          <w:p>
            <w:r>
              <w:t xml:space="preserve">Utilizing the Pathways of Progress, 80% K-2 students will demonstrate typical or above typical progress toward grade-specific reading fluency goals by the end of each academic year.</w:t>
            </w:r>
          </w:p>
        </w:tc>
      </w:tr>
      <w:tr>
        <w:tc>
          <w:tcPr>
            <w:gridSpan w:val="3"/>
            <w:vAlign w:val="center"/>
          </w:tcPr>
          <w:p>
            <w:r>
              <w:rPr>
                <w:b/>
              </w:rPr>
              <w:t xml:space="preserve">Measurable Goal Nickname (35 Character Max)</w:t>
            </w:r>
          </w:p>
        </w:tc>
      </w:tr>
      <w:tr>
        <w:tc>
          <w:tcPr>
            <w:gridSpan w:val="3"/>
            <w:vAlign w:val="center"/>
          </w:tcPr>
          <w:p>
            <w:r>
              <w:t xml:space="preserve">Fluency K-2</w:t>
            </w:r>
          </w:p>
        </w:tc>
      </w:tr>
      <w:tr>
        <w:tc>
          <w:tcPr>
            <w:vAlign w:val="center"/>
          </w:tcPr>
          <w:p>
            <w:r>
              <w:rPr>
                <w:b/>
              </w:rPr>
              <w:t xml:space="preserve">Target Year 1</w:t>
            </w:r>
          </w:p>
        </w:tc>
        <w:tc>
          <w:tcPr>
            <w:vAlign w:val="center"/>
          </w:tcPr>
          <w:p>
            <w:r>
              <w:rPr>
                <w:b/>
              </w:rPr>
              <w:t xml:space="preserve">Target Year 2</w:t>
            </w:r>
          </w:p>
        </w:tc>
        <w:tc>
          <w:tcPr>
            <w:vAlign w:val="center"/>
          </w:tcPr>
          <w:p>
            <w:r>
              <w:rPr>
                <w:b/>
              </w:rPr>
              <w:t xml:space="preserve">Target Year 3</w:t>
            </w:r>
          </w:p>
        </w:tc>
      </w:tr>
      <w:tr>
        <w:tc>
          <w:tcPr>
            <w:vAlign w:val="center"/>
          </w:tcPr>
          <w:p>
            <w:r>
              <w:t xml:space="preserve">Utilizing the Pathways of Progress, 60% K-2 students will demonstrate typical or above typical progress toward grade-specific reading fluency goals by the end of each academic year.</w:t>
            </w:r>
          </w:p>
        </w:tc>
        <w:tc>
          <w:tcPr>
            <w:vAlign w:val="center"/>
          </w:tcPr>
          <w:p>
            <w:r>
              <w:t xml:space="preserve">Utilizing the Pathways of Progress, 70% K-2 students will demonstrate typical or above typical progress toward grade-specific reading fluency goals by the end of each academic year.</w:t>
            </w:r>
          </w:p>
        </w:tc>
        <w:tc>
          <w:tcPr>
            <w:vAlign w:val="center"/>
          </w:tcPr>
          <w:p>
            <w:r>
              <w:t xml:space="preserve">Utilizing the Pathways of Progress, 80% K-2 students will demonstrate typical or above typical progress toward grade-specific reading fluency goals by the end of each academic year.</w:t>
            </w:r>
          </w:p>
        </w:tc>
      </w:tr>
    </w:tbl>
    <w:p>
      <w:r>
        <w:br/>
      </w:r>
      <w:r>
        <w:br/>
      </w:r>
      <w:r>
        <w:br/>
      </w:r>
      <w:r>
        <w:br/>
      </w:r>
      <w:r>
        <w:br/>
      </w:r>
      <w:r>
        <w:br/>
      </w:r>
      <w:r>
        <w:br w:type="page"/>
      </w:r>
      <w:r>
        <w:lastRenderedPageBreak/>
      </w:r>
    </w:p>
    <w:p>
      <w:pPr>
        <w:pStyle w:val="Heading1"/>
      </w:pPr>
      <w:r>
        <w:t xml:space="preserve">Action Plan</w:t>
      </w:r>
    </w:p>
    <w:p>
      <w:pPr>
        <w:pStyle w:val="Heading2"/>
      </w:pPr>
      <w:r>
        <w:t xml:space="preserve">Measurable Goals</w:t>
      </w:r>
    </w:p>
    <w:tbl>
      <w:tblPr>
        <w:tblStyle w:val="TableGrid"/>
        <w:tblW w:w="5000" w:type="pct"/>
      </w:tblPr>
      <w:tblGrid>
        <w:gridCol/>
        <w:gridCol/>
      </w:tblGrid>
      <w:tr>
        <w:tc>
          <w:tcPr>
            <w:vAlign w:val="center"/>
          </w:tcPr>
          <w:p>
            <w:r>
              <w:t xml:space="preserve">Feedback</w:t>
            </w:r>
          </w:p>
        </w:tc>
        <w:tc>
          <w:tcPr>
            <w:vAlign w:val="center"/>
          </w:tcPr>
          <w:p>
            <w:r>
              <w:t xml:space="preserve">Confidence, Don't Worry </w:t>
            </w:r>
          </w:p>
        </w:tc>
      </w:tr>
      <w:tr>
        <w:tc>
          <w:tcPr>
            <w:vAlign w:val="center"/>
          </w:tcPr>
          <w:p>
            <w:r>
              <w:t xml:space="preserve">Numbers, Operations, and Algebraic Concepts</w:t>
            </w:r>
          </w:p>
        </w:tc>
        <w:tc>
          <w:tcPr>
            <w:vAlign w:val="center"/>
          </w:tcPr>
          <w:p>
            <w:r>
              <w:t xml:space="preserve">Teachers' Response on Stamina and Motivation</w:t>
            </w:r>
          </w:p>
        </w:tc>
      </w:tr>
      <w:tr>
        <w:tc>
          <w:tcPr>
            <w:vAlign w:val="center"/>
          </w:tcPr>
          <w:p>
            <w:r>
              <w:t xml:space="preserve">Love of Learning Grades 3-6</w:t>
            </w:r>
          </w:p>
        </w:tc>
        <w:tc>
          <w:tcPr>
            <w:vAlign w:val="center"/>
          </w:tcPr>
          <w:p>
            <w:r>
              <w:t xml:space="preserve">Fluency K-2</w:t>
            </w:r>
          </w:p>
        </w:tc>
      </w:tr>
    </w:tbl>
    <w:p>
      <w:pPr>
        <w:pStyle w:val="Heading2"/>
      </w:pPr>
      <w:r>
        <w:t xml:space="preserve">Action Plan For: Zones of Regulation</w:t>
      </w:r>
    </w:p>
    <w:tbl>
      <w:tblPr>
        <w:tblStyle w:val="TableGrid"/>
        <w:tblW w:w="5000" w:type="pct"/>
      </w:tblPr>
      <w:tblGrid>
        <w:gridCol/>
        <w:gridCol/>
        <w:gridCol/>
        <w:gridCol/>
      </w:tblGrid>
      <w:tr>
        <w:tc>
          <w:tcPr>
            <w:gridSpan w:val="4"/>
            <w:vAlign w:val="center"/>
          </w:tcPr>
          <w:p>
            <w:r>
              <w:rPr>
                <w:b/>
              </w:rPr>
              <w:t xml:space="preserve">Measurable Goals:</w:t>
            </w:r>
          </w:p>
        </w:tc>
      </w:tr>
      <w:tr>
        <w:tc>
          <w:tcPr>
            <w:gridSpan w:val="4"/>
            <w:vAlign w:val="center"/>
          </w:tcPr>
          <w:p>
            <w:pPr>
              <w:pStyle w:val="ListParagraph"/>
              <w:numPr>
                <w:ilvl w:val="0"/>
                <w:numId w:val="5"/>
              </w:numPr>
            </w:pPr>
            <w:r>
              <w:t xml:space="preserve">By the end of the school year, classroom and support teachers will have met with each student for a minimum of four conferences to discuss academic successes and progress toward grade-level expectations.</w:t>
            </w:r>
          </w:p>
          <w:p>
            <w:pPr>
              <w:pStyle w:val="ListParagraph"/>
              <w:numPr>
                <w:ilvl w:val="0"/>
                <w:numId w:val="5"/>
              </w:numPr>
            </w:pPr>
            <w:r>
              <w:t xml:space="preserve">Through the use of a survey at the beginning, middle, and end of the year, 80% students will demonstrate an increase in academic confidence and overall reduction of performance stress by the end of the school year.</w:t>
            </w:r>
          </w:p>
          <w:p>
            <w:pPr>
              <w:pStyle w:val="ListParagraph"/>
              <w:numPr>
                <w:ilvl w:val="0"/>
                <w:numId w:val="5"/>
              </w:numPr>
            </w:pPr>
            <w:r>
              <w:t xml:space="preserve">80% of students in Grades 3-6 will self-report an increase in motivation, academic buy-in, and student ownership of learning through the use of a minimum of three surveys and teacher-facilitated student-led goals by the end of the school year.</w:t>
            </w:r>
          </w:p>
        </w:tc>
      </w:tr>
    </w:tbl>
    <w:p/>
    <w:tbl>
      <w:tblPr>
        <w:tblStyle w:val="TableGrid"/>
        <w:tblW w:w="5000" w:type="pct"/>
      </w:tblPr>
      <w:tblGrid>
        <w:gridCol/>
        <w:gridCol/>
        <w:gridCol/>
        <w:gridCol/>
      </w:tblGrid>
      <w:tr>
        <w:tc>
          <w:tcPr>
            <w:gridSpan w:val="2"/>
            <w:vAlign w:val="center"/>
          </w:tcPr>
          <w:p>
            <w:r>
              <w:rPr>
                <w:b/>
              </w:rPr>
              <w:t xml:space="preserve">Action Step</w:t>
            </w:r>
          </w:p>
        </w:tc>
        <w:tc>
          <w:tcPr>
            <w:vAlign w:val="center"/>
          </w:tcPr>
          <w:p>
            <w:r>
              <w:rPr>
                <w:b/>
              </w:rPr>
              <w:t xml:space="preserve">Anticipated Start Date</w:t>
            </w:r>
          </w:p>
        </w:tc>
        <w:tc>
          <w:tcPr>
            <w:vAlign w:val="center"/>
          </w:tcPr>
          <w:p>
            <w:r>
              <w:rPr>
                <w:b/>
              </w:rPr>
              <w:t xml:space="preserve">Anticipated Completion Date</w:t>
            </w:r>
          </w:p>
        </w:tc>
      </w:tr>
      <w:tr>
        <w:tc>
          <w:tcPr>
            <w:gridSpan w:val="2"/>
            <w:vAlign w:val="center"/>
          </w:tcPr>
          <w:p>
            <w:r>
              <w:t xml:space="preserve">Implementation of Zones of Regulation for grades 3-6  and the continuation of it in lower elementary.</w:t>
            </w:r>
          </w:p>
        </w:tc>
        <w:tc>
          <w:tcPr>
            <w:vAlign w:val="center"/>
          </w:tcPr>
          <w:p>
            <w:r>
              <w:t xml:space="preserve">2025-01-06</w:t>
            </w:r>
          </w:p>
        </w:tc>
        <w:tc>
          <w:tcPr>
            <w:vAlign w:val="center"/>
          </w:tcPr>
          <w:p>
            <w:r>
              <w:t xml:space="preserve">2029-06-04</w:t>
            </w:r>
          </w:p>
        </w:tc>
      </w:tr>
      <w:tr>
        <w:tc>
          <w:tcPr>
            <w:vAlign w:val="center"/>
          </w:tcPr>
          <w:p>
            <w:r>
              <w:rPr>
                <w:b/>
              </w:rPr>
              <w:t xml:space="preserve">Lead Person/Position</w:t>
            </w:r>
          </w:p>
        </w:tc>
        <w:tc>
          <w:tcPr>
            <w:vAlign w:val="center"/>
          </w:tcPr>
          <w:p>
            <w:r>
              <w:rPr>
                <w:b/>
              </w:rPr>
              <w:t xml:space="preserve">Material/Resources/Supports Needed</w:t>
            </w:r>
          </w:p>
        </w:tc>
        <w:tc>
          <w:tcPr>
            <w:vAlign w:val="center"/>
          </w:tcPr>
          <w:p>
            <w:r>
              <w:rPr>
                <w:b/>
              </w:rPr>
              <w:t xml:space="preserve">PD Step?</w:t>
            </w:r>
          </w:p>
        </w:tc>
        <w:tc>
          <w:tcPr>
            <w:vAlign w:val="center"/>
          </w:tcPr>
          <w:p>
            <w:r>
              <w:rPr>
                <w:b/>
              </w:rPr>
              <w:t xml:space="preserve">Com Step?</w:t>
            </w:r>
          </w:p>
        </w:tc>
      </w:tr>
      <w:tr>
        <w:tc>
          <w:tcPr>
            <w:vAlign w:val="center"/>
          </w:tcPr>
          <w:p>
            <w:r>
              <w:t xml:space="preserve">Cheryl Sornson: School Counselor
Shamin Jegan: RtI Teacher
Dr. Tammy Hogan: Assistant Principal</w:t>
            </w:r>
          </w:p>
        </w:tc>
        <w:tc>
          <w:tcPr>
            <w:vAlign w:val="center"/>
          </w:tcPr>
          <w:p>
            <w:r>
              <w:t xml:space="preserve">Zones of Regulation, website, posters, print-outs, implementation guide</w:t>
            </w:r>
          </w:p>
        </w:tc>
        <w:tc>
          <w:tcPr>
            <w:vAlign w:val="center"/>
          </w:tcPr>
          <w:p>
            <w:r>
              <w:t xml:space="preserve">Yes                                                                </w:t>
            </w:r>
          </w:p>
        </w:tc>
        <w:tc>
          <w:tcPr>
            <w:vAlign w:val="center"/>
          </w:tcPr>
          <w:p>
            <w:r>
              <w:t xml:space="preserve">Yes                                                                </w:t>
            </w:r>
          </w:p>
        </w:tc>
      </w:tr>
    </w:tbl>
    <w:p/>
    <w:tbl>
      <w:tblPr>
        <w:tblStyle w:val="TableGrid"/>
        <w:tblW w:w="5000" w:type="pct"/>
      </w:tblPr>
      <w:tblGrid>
        <w:gridCol/>
        <w:gridCol/>
      </w:tblGrid>
      <w:tr>
        <w:tc>
          <w:tcPr>
            <w:vAlign w:val="center"/>
          </w:tcPr>
          <w:p>
            <w:r>
              <w:rPr>
                <w:b/>
              </w:rPr>
              <w:t xml:space="preserve">Anticipated Output</w:t>
            </w:r>
          </w:p>
        </w:tc>
        <w:tc>
          <w:tcPr>
            <w:vAlign w:val="center"/>
          </w:tcPr>
          <w:p>
            <w:r>
              <w:rPr>
                <w:b/>
              </w:rPr>
              <w:t xml:space="preserve">Monitoring/Evaluation (People, Frequency, and Method)</w:t>
            </w:r>
          </w:p>
        </w:tc>
      </w:tr>
      <w:tr>
        <w:tc>
          <w:tcPr>
            <w:vAlign w:val="center"/>
          </w:tcPr>
          <w:p>
            <w:r>
              <w:t xml:space="preserve">Students will be able to identify and regulate their emotions. </w:t>
            </w:r>
          </w:p>
        </w:tc>
        <w:tc>
          <w:tcPr>
            <w:vAlign w:val="center"/>
          </w:tcPr>
          <w:p>
            <w:r>
              <w:t xml:space="preserve">Teachers, at least once a day, using a Feelings Chart based on emotion/zone.</w:t>
            </w:r>
          </w:p>
        </w:tc>
      </w:tr>
    </w:tbl>
    <w:p>
      <w:r>
        <w:br/>
      </w:r>
    </w:p>
    <w:p>
      <w:pPr>
        <w:pStyle w:val="Heading2"/>
      </w:pPr>
      <w:r>
        <w:t xml:space="preserve">Action Plan For: The Caring School Community</w:t>
      </w:r>
    </w:p>
    <w:tbl>
      <w:tblPr>
        <w:tblStyle w:val="TableGrid"/>
        <w:tblW w:w="5000" w:type="pct"/>
      </w:tblPr>
      <w:tblGrid>
        <w:gridCol/>
        <w:gridCol/>
        <w:gridCol/>
        <w:gridCol/>
      </w:tblGrid>
      <w:tr>
        <w:tc>
          <w:tcPr>
            <w:gridSpan w:val="4"/>
            <w:vAlign w:val="center"/>
          </w:tcPr>
          <w:p>
            <w:r>
              <w:rPr>
                <w:b/>
              </w:rPr>
              <w:t xml:space="preserve">Measurable Goals:</w:t>
            </w:r>
          </w:p>
        </w:tc>
      </w:tr>
      <w:tr>
        <w:tc>
          <w:tcPr>
            <w:gridSpan w:val="4"/>
            <w:vAlign w:val="center"/>
          </w:tcPr>
          <w:p>
            <w:pPr>
              <w:pStyle w:val="ListParagraph"/>
              <w:numPr>
                <w:ilvl w:val="0"/>
                <w:numId w:val="6"/>
              </w:numPr>
            </w:pPr>
            <w:r>
              <w:t xml:space="preserve">By the end of the school year, classroom and support teachers will have met with each student for a minimum of four conferences to discuss academic successes and progress toward grade-level expectations.</w:t>
            </w:r>
          </w:p>
          <w:p>
            <w:pPr>
              <w:pStyle w:val="ListParagraph"/>
              <w:numPr>
                <w:ilvl w:val="0"/>
                <w:numId w:val="6"/>
              </w:numPr>
            </w:pPr>
            <w:r>
              <w:t xml:space="preserve">Through the use of a survey at the beginning, middle, and end of the year, 80% students will demonstrate an increase in academic confidence and overall reduction of performance stress by the end of the school year.</w:t>
            </w:r>
          </w:p>
          <w:p>
            <w:pPr>
              <w:pStyle w:val="ListParagraph"/>
              <w:numPr>
                <w:ilvl w:val="0"/>
                <w:numId w:val="6"/>
              </w:numPr>
            </w:pPr>
            <w:r>
              <w:t xml:space="preserve">80% of students in Grades 3-6 will self-report an increase in motivation, academic buy-in, and student ownership of learning through the use of a minimum of three surveys and teacher-facilitated student-led goals by the end of the school year.</w:t>
            </w:r>
          </w:p>
        </w:tc>
      </w:tr>
    </w:tbl>
    <w:p/>
    <w:tbl>
      <w:tblPr>
        <w:tblStyle w:val="TableGrid"/>
        <w:tblW w:w="5000" w:type="pct"/>
      </w:tblPr>
      <w:tblGrid>
        <w:gridCol/>
        <w:gridCol/>
        <w:gridCol/>
        <w:gridCol/>
      </w:tblGrid>
      <w:tr>
        <w:tc>
          <w:tcPr>
            <w:gridSpan w:val="2"/>
            <w:vAlign w:val="center"/>
          </w:tcPr>
          <w:p>
            <w:r>
              <w:rPr>
                <w:b/>
              </w:rPr>
              <w:t xml:space="preserve">Action Step</w:t>
            </w:r>
          </w:p>
        </w:tc>
        <w:tc>
          <w:tcPr>
            <w:vAlign w:val="center"/>
          </w:tcPr>
          <w:p>
            <w:r>
              <w:rPr>
                <w:b/>
              </w:rPr>
              <w:t xml:space="preserve">Anticipated Start Date</w:t>
            </w:r>
          </w:p>
        </w:tc>
        <w:tc>
          <w:tcPr>
            <w:vAlign w:val="center"/>
          </w:tcPr>
          <w:p>
            <w:r>
              <w:rPr>
                <w:b/>
              </w:rPr>
              <w:t xml:space="preserve">Anticipated Completion Date</w:t>
            </w:r>
          </w:p>
        </w:tc>
      </w:tr>
      <w:tr>
        <w:tc>
          <w:tcPr>
            <w:gridSpan w:val="2"/>
            <w:vAlign w:val="center"/>
          </w:tcPr>
          <w:p>
            <w:r>
              <w:t xml:space="preserve">To implement school-wide cross-peer interactions, such as reading buddies, playing games, math, science experiments, visit classrooms, to build confidence. </w:t>
            </w:r>
          </w:p>
        </w:tc>
        <w:tc>
          <w:tcPr>
            <w:vAlign w:val="center"/>
          </w:tcPr>
          <w:p>
            <w:r>
              <w:t xml:space="preserve">2025-08-06</w:t>
            </w:r>
          </w:p>
        </w:tc>
        <w:tc>
          <w:tcPr>
            <w:vAlign w:val="center"/>
          </w:tcPr>
          <w:p>
            <w:r>
              <w:t xml:space="preserve">2029-06-04</w:t>
            </w:r>
          </w:p>
        </w:tc>
      </w:tr>
      <w:tr>
        <w:tc>
          <w:tcPr>
            <w:vAlign w:val="center"/>
          </w:tcPr>
          <w:p>
            <w:r>
              <w:rPr>
                <w:b/>
              </w:rPr>
              <w:t xml:space="preserve">Lead Person/Position</w:t>
            </w:r>
          </w:p>
        </w:tc>
        <w:tc>
          <w:tcPr>
            <w:vAlign w:val="center"/>
          </w:tcPr>
          <w:p>
            <w:r>
              <w:rPr>
                <w:b/>
              </w:rPr>
              <w:t xml:space="preserve">Material/Resources/Supports Needed</w:t>
            </w:r>
          </w:p>
        </w:tc>
        <w:tc>
          <w:tcPr>
            <w:vAlign w:val="center"/>
          </w:tcPr>
          <w:p>
            <w:r>
              <w:rPr>
                <w:b/>
              </w:rPr>
              <w:t xml:space="preserve">PD Step?</w:t>
            </w:r>
          </w:p>
        </w:tc>
        <w:tc>
          <w:tcPr>
            <w:vAlign w:val="center"/>
          </w:tcPr>
          <w:p>
            <w:r>
              <w:rPr>
                <w:b/>
              </w:rPr>
              <w:t xml:space="preserve">Com Step?</w:t>
            </w:r>
          </w:p>
        </w:tc>
      </w:tr>
      <w:tr>
        <w:tc>
          <w:tcPr>
            <w:vAlign w:val="center"/>
          </w:tcPr>
          <w:p>
            <w:r>
              <w:t xml:space="preserve">Classroom Teachers K-6</w:t>
            </w:r>
          </w:p>
        </w:tc>
        <w:tc>
          <w:tcPr>
            <w:vAlign w:val="center"/>
          </w:tcPr>
          <w:p>
            <w:r>
              <w:t xml:space="preserve">The Caring School Community </w:t>
            </w:r>
          </w:p>
        </w:tc>
        <w:tc>
          <w:tcPr>
            <w:vAlign w:val="center"/>
          </w:tcPr>
          <w:p>
            <w:r>
              <w:t xml:space="preserve">No                                                                </w:t>
            </w:r>
          </w:p>
        </w:tc>
        <w:tc>
          <w:tcPr>
            <w:vAlign w:val="center"/>
          </w:tcPr>
          <w:p>
            <w:r>
              <w:t xml:space="preserve">Yes                                                                </w:t>
            </w:r>
          </w:p>
        </w:tc>
      </w:tr>
    </w:tbl>
    <w:p/>
    <w:tbl>
      <w:tblPr>
        <w:tblStyle w:val="TableGrid"/>
        <w:tblW w:w="5000" w:type="pct"/>
      </w:tblPr>
      <w:tblGrid>
        <w:gridCol/>
        <w:gridCol/>
      </w:tblGrid>
      <w:tr>
        <w:tc>
          <w:tcPr>
            <w:vAlign w:val="center"/>
          </w:tcPr>
          <w:p>
            <w:r>
              <w:rPr>
                <w:b/>
              </w:rPr>
              <w:t xml:space="preserve">Anticipated Output</w:t>
            </w:r>
          </w:p>
        </w:tc>
        <w:tc>
          <w:tcPr>
            <w:vAlign w:val="center"/>
          </w:tcPr>
          <w:p>
            <w:r>
              <w:rPr>
                <w:b/>
              </w:rPr>
              <w:t xml:space="preserve">Monitoring/Evaluation (People, Frequency, and Method)</w:t>
            </w:r>
          </w:p>
        </w:tc>
      </w:tr>
      <w:tr>
        <w:tc>
          <w:tcPr>
            <w:vAlign w:val="center"/>
          </w:tcPr>
          <w:p>
            <w:r>
              <w:t xml:space="preserve">Students will have increased confidence, motivation, positive self-image, promote leadership skills, improved peer-peer interactions, and self-efficacy </w:t>
            </w:r>
          </w:p>
        </w:tc>
        <w:tc>
          <w:tcPr>
            <w:vAlign w:val="center"/>
          </w:tcPr>
          <w:p>
            <w:r>
              <w:t xml:space="preserve">Review surveys and conduct observations</w:t>
            </w:r>
          </w:p>
        </w:tc>
      </w:tr>
    </w:tbl>
    <w:p>
      <w:r>
        <w:br/>
      </w:r>
    </w:p>
    <w:p>
      <w:pPr>
        <w:pStyle w:val="Heading2"/>
      </w:pPr>
      <w:r>
        <w:t xml:space="preserve">Action Plan For: Repeated Reading</w:t>
      </w:r>
    </w:p>
    <w:tbl>
      <w:tblPr>
        <w:tblStyle w:val="TableGrid"/>
        <w:tblW w:w="5000" w:type="pct"/>
      </w:tblPr>
      <w:tblGrid>
        <w:gridCol/>
        <w:gridCol/>
        <w:gridCol/>
        <w:gridCol/>
      </w:tblGrid>
      <w:tr>
        <w:tc>
          <w:tcPr>
            <w:gridSpan w:val="4"/>
            <w:vAlign w:val="center"/>
          </w:tcPr>
          <w:p>
            <w:r>
              <w:rPr>
                <w:b/>
              </w:rPr>
              <w:t xml:space="preserve">Measurable Goals:</w:t>
            </w:r>
          </w:p>
        </w:tc>
      </w:tr>
      <w:tr>
        <w:tc>
          <w:tcPr>
            <w:gridSpan w:val="4"/>
            <w:vAlign w:val="center"/>
          </w:tcPr>
          <w:p>
            <w:pPr>
              <w:pStyle w:val="ListParagraph"/>
              <w:numPr>
                <w:ilvl w:val="0"/>
                <w:numId w:val="7"/>
              </w:numPr>
            </w:pPr>
            <w:r>
              <w:t xml:space="preserve">Teachers will report 80% of students will demonstrate increased stamina and intrinsic motivation when supported with evidence-based strategies as measured through observation and classroom-based data by the end of the school year.</w:t>
            </w:r>
          </w:p>
          <w:p>
            <w:pPr>
              <w:pStyle w:val="ListParagraph"/>
              <w:numPr>
                <w:ilvl w:val="0"/>
                <w:numId w:val="7"/>
              </w:numPr>
            </w:pPr>
            <w:r>
              <w:t xml:space="preserve">Through the use of a survey at the beginning, middle, and end of the year, 80% students will demonstrate an increase in academic confidence and overall reduction of performance stress by the end of the school year.</w:t>
            </w:r>
          </w:p>
          <w:p>
            <w:pPr>
              <w:pStyle w:val="ListParagraph"/>
              <w:numPr>
                <w:ilvl w:val="0"/>
                <w:numId w:val="7"/>
              </w:numPr>
            </w:pPr>
            <w:r>
              <w:t xml:space="preserve">Utilizing the Pathways of Progress, 80% K-2 students will demonstrate typical or above typical progress toward grade-specific reading fluency goals by the end of each academic year.</w:t>
            </w:r>
          </w:p>
          <w:p>
            <w:pPr>
              <w:pStyle w:val="ListParagraph"/>
              <w:numPr>
                <w:ilvl w:val="0"/>
                <w:numId w:val="7"/>
              </w:numPr>
            </w:pPr>
            <w:r>
              <w:t xml:space="preserve">80% of students in Grades 3-6 will self-report an increase in motivation, academic buy-in, and student ownership of learning through the use of a minimum of three surveys and teacher-facilitated student-led goals by the end of the school year.</w:t>
            </w:r>
          </w:p>
        </w:tc>
      </w:tr>
    </w:tbl>
    <w:p/>
    <w:tbl>
      <w:tblPr>
        <w:tblStyle w:val="TableGrid"/>
        <w:tblW w:w="5000" w:type="pct"/>
      </w:tblPr>
      <w:tblGrid>
        <w:gridCol/>
        <w:gridCol/>
        <w:gridCol/>
        <w:gridCol/>
      </w:tblGrid>
      <w:tr>
        <w:tc>
          <w:tcPr>
            <w:gridSpan w:val="2"/>
            <w:vAlign w:val="center"/>
          </w:tcPr>
          <w:p>
            <w:r>
              <w:rPr>
                <w:b/>
              </w:rPr>
              <w:t xml:space="preserve">Action Step</w:t>
            </w:r>
          </w:p>
        </w:tc>
        <w:tc>
          <w:tcPr>
            <w:vAlign w:val="center"/>
          </w:tcPr>
          <w:p>
            <w:r>
              <w:rPr>
                <w:b/>
              </w:rPr>
              <w:t xml:space="preserve">Anticipated Start Date</w:t>
            </w:r>
          </w:p>
        </w:tc>
        <w:tc>
          <w:tcPr>
            <w:vAlign w:val="center"/>
          </w:tcPr>
          <w:p>
            <w:r>
              <w:rPr>
                <w:b/>
              </w:rPr>
              <w:t xml:space="preserve">Anticipated Completion Date</w:t>
            </w:r>
          </w:p>
        </w:tc>
      </w:tr>
      <w:tr>
        <w:tc>
          <w:tcPr>
            <w:gridSpan w:val="2"/>
            <w:vAlign w:val="center"/>
          </w:tcPr>
          <w:p>
            <w:r>
              <w:t xml:space="preserve">Create and use Montessori Works that promote fluency to build rate, accuracy, and prosody. </w:t>
            </w:r>
          </w:p>
        </w:tc>
        <w:tc>
          <w:tcPr>
            <w:vAlign w:val="center"/>
          </w:tcPr>
          <w:p>
            <w:r>
              <w:t xml:space="preserve">2025-08-06</w:t>
            </w:r>
          </w:p>
        </w:tc>
        <w:tc>
          <w:tcPr>
            <w:vAlign w:val="center"/>
          </w:tcPr>
          <w:p>
            <w:r>
              <w:t xml:space="preserve">2029-06-04</w:t>
            </w:r>
          </w:p>
        </w:tc>
      </w:tr>
      <w:tr>
        <w:tc>
          <w:tcPr>
            <w:vAlign w:val="center"/>
          </w:tcPr>
          <w:p>
            <w:r>
              <w:rPr>
                <w:b/>
              </w:rPr>
              <w:t xml:space="preserve">Lead Person/Position</w:t>
            </w:r>
          </w:p>
        </w:tc>
        <w:tc>
          <w:tcPr>
            <w:vAlign w:val="center"/>
          </w:tcPr>
          <w:p>
            <w:r>
              <w:rPr>
                <w:b/>
              </w:rPr>
              <w:t xml:space="preserve">Material/Resources/Supports Needed</w:t>
            </w:r>
          </w:p>
        </w:tc>
        <w:tc>
          <w:tcPr>
            <w:vAlign w:val="center"/>
          </w:tcPr>
          <w:p>
            <w:r>
              <w:rPr>
                <w:b/>
              </w:rPr>
              <w:t xml:space="preserve">PD Step?</w:t>
            </w:r>
          </w:p>
        </w:tc>
        <w:tc>
          <w:tcPr>
            <w:vAlign w:val="center"/>
          </w:tcPr>
          <w:p>
            <w:r>
              <w:rPr>
                <w:b/>
              </w:rPr>
              <w:t xml:space="preserve">Com Step?</w:t>
            </w:r>
          </w:p>
        </w:tc>
      </w:tr>
      <w:tr>
        <w:tc>
          <w:tcPr>
            <w:vAlign w:val="center"/>
          </w:tcPr>
          <w:p>
            <w:r>
              <w:t xml:space="preserve">Classroom teachers and assistants</w:t>
            </w:r>
          </w:p>
        </w:tc>
        <w:tc>
          <w:tcPr>
            <w:vAlign w:val="center"/>
          </w:tcPr>
          <w:p>
            <w:r>
              <w:t xml:space="preserve">Grade-level passages, timers, Reading A to Z, whiteboards and whiteboard sleeves, clear protective sleeves. Time to collaborate and create. </w:t>
            </w:r>
          </w:p>
        </w:tc>
        <w:tc>
          <w:tcPr>
            <w:vAlign w:val="center"/>
          </w:tcPr>
          <w:p>
            <w:r>
              <w:t xml:space="preserve">Yes                                                                </w:t>
            </w:r>
          </w:p>
        </w:tc>
        <w:tc>
          <w:tcPr>
            <w:vAlign w:val="center"/>
          </w:tcPr>
          <w:p>
            <w:r>
              <w:t xml:space="preserve">Yes                                                                </w:t>
            </w:r>
          </w:p>
        </w:tc>
      </w:tr>
    </w:tbl>
    <w:p/>
    <w:tbl>
      <w:tblPr>
        <w:tblStyle w:val="TableGrid"/>
        <w:tblW w:w="5000" w:type="pct"/>
      </w:tblPr>
      <w:tblGrid>
        <w:gridCol/>
        <w:gridCol/>
      </w:tblGrid>
      <w:tr>
        <w:tc>
          <w:tcPr>
            <w:vAlign w:val="center"/>
          </w:tcPr>
          <w:p>
            <w:r>
              <w:rPr>
                <w:b/>
              </w:rPr>
              <w:t xml:space="preserve">Anticipated Output</w:t>
            </w:r>
          </w:p>
        </w:tc>
        <w:tc>
          <w:tcPr>
            <w:vAlign w:val="center"/>
          </w:tcPr>
          <w:p>
            <w:r>
              <w:rPr>
                <w:b/>
              </w:rPr>
              <w:t xml:space="preserve">Monitoring/Evaluation (People, Frequency, and Method)</w:t>
            </w:r>
          </w:p>
        </w:tc>
      </w:tr>
      <w:tr>
        <w:tc>
          <w:tcPr>
            <w:vAlign w:val="center"/>
          </w:tcPr>
          <w:p>
            <w:r>
              <w:t xml:space="preserve">Students will increase fluency.</w:t>
            </w:r>
          </w:p>
        </w:tc>
        <w:tc>
          <w:tcPr>
            <w:vAlign w:val="center"/>
          </w:tcPr>
          <w:p>
            <w:r>
              <w:t xml:space="preserve">Self-progress monitoring</w:t>
            </w:r>
          </w:p>
        </w:tc>
      </w:tr>
    </w:tbl>
    <w:p>
      <w:r>
        <w:br/>
      </w:r>
    </w:p>
    <w:p>
      <w:pPr>
        <w:pStyle w:val="Heading2"/>
      </w:pPr>
      <w:r>
        <w:t xml:space="preserve">Action Plan For: Explicit Instruction</w:t>
      </w:r>
    </w:p>
    <w:tbl>
      <w:tblPr>
        <w:tblStyle w:val="TableGrid"/>
        <w:tblW w:w="5000" w:type="pct"/>
      </w:tblPr>
      <w:tblGrid>
        <w:gridCol/>
        <w:gridCol/>
        <w:gridCol/>
        <w:gridCol/>
      </w:tblGrid>
      <w:tr>
        <w:tc>
          <w:tcPr>
            <w:gridSpan w:val="4"/>
            <w:vAlign w:val="center"/>
          </w:tcPr>
          <w:p>
            <w:r>
              <w:rPr>
                <w:b/>
              </w:rPr>
              <w:t xml:space="preserve">Measurable Goals:</w:t>
            </w:r>
          </w:p>
        </w:tc>
      </w:tr>
      <w:tr>
        <w:tc>
          <w:tcPr>
            <w:gridSpan w:val="4"/>
            <w:vAlign w:val="center"/>
          </w:tcPr>
          <w:p>
            <w:pPr>
              <w:pStyle w:val="ListParagraph"/>
              <w:numPr>
                <w:ilvl w:val="0"/>
                <w:numId w:val="8"/>
              </w:numPr>
            </w:pPr>
            <w:r>
              <w:t xml:space="preserve">By the end of the school year, classroom and support teachers will have met with each student for a minimum of four conferences to discuss academic successes and progress toward grade-level expectations.</w:t>
            </w:r>
          </w:p>
          <w:p>
            <w:pPr>
              <w:pStyle w:val="ListParagraph"/>
              <w:numPr>
                <w:ilvl w:val="0"/>
                <w:numId w:val="8"/>
              </w:numPr>
            </w:pPr>
            <w:r>
              <w:t xml:space="preserve">Through the use of a survey at the beginning, middle, and end of the year, 80% students will demonstrate an increase in academic confidence and overall reduction of performance stress by the end of the school year.</w:t>
            </w:r>
          </w:p>
          <w:p>
            <w:pPr>
              <w:pStyle w:val="ListParagraph"/>
              <w:numPr>
                <w:ilvl w:val="0"/>
                <w:numId w:val="8"/>
              </w:numPr>
            </w:pPr>
            <w:r>
              <w:t xml:space="preserve">Utilizing the Pathways of Progress, 80% K-2 students will demonstrate typical or above typical progress toward grade-specific reading fluency goals by the end of each academic year.</w:t>
            </w:r>
          </w:p>
          <w:p>
            <w:pPr>
              <w:pStyle w:val="ListParagraph"/>
              <w:numPr>
                <w:ilvl w:val="0"/>
                <w:numId w:val="8"/>
              </w:numPr>
            </w:pPr>
            <w:r>
              <w:t xml:space="preserve">80% of students in Grades 3-6 will self-report an increase in motivation, academic buy-in, and student ownership of learning through the use of a minimum of three surveys and teacher-facilitated student-led goals by the end of the school year.</w:t>
            </w:r>
          </w:p>
        </w:tc>
      </w:tr>
    </w:tbl>
    <w:p/>
    <w:tbl>
      <w:tblPr>
        <w:tblStyle w:val="TableGrid"/>
        <w:tblW w:w="5000" w:type="pct"/>
      </w:tblPr>
      <w:tblGrid>
        <w:gridCol/>
        <w:gridCol/>
        <w:gridCol/>
        <w:gridCol/>
      </w:tblGrid>
      <w:tr>
        <w:tc>
          <w:tcPr>
            <w:gridSpan w:val="2"/>
            <w:vAlign w:val="center"/>
          </w:tcPr>
          <w:p>
            <w:r>
              <w:rPr>
                <w:b/>
              </w:rPr>
              <w:t xml:space="preserve">Action Step</w:t>
            </w:r>
          </w:p>
        </w:tc>
        <w:tc>
          <w:tcPr>
            <w:vAlign w:val="center"/>
          </w:tcPr>
          <w:p>
            <w:r>
              <w:rPr>
                <w:b/>
              </w:rPr>
              <w:t xml:space="preserve">Anticipated Start Date</w:t>
            </w:r>
          </w:p>
        </w:tc>
        <w:tc>
          <w:tcPr>
            <w:vAlign w:val="center"/>
          </w:tcPr>
          <w:p>
            <w:r>
              <w:rPr>
                <w:b/>
              </w:rPr>
              <w:t xml:space="preserve">Anticipated Completion Date</w:t>
            </w:r>
          </w:p>
        </w:tc>
      </w:tr>
      <w:tr>
        <w:tc>
          <w:tcPr>
            <w:gridSpan w:val="2"/>
            <w:vAlign w:val="center"/>
          </w:tcPr>
          <w:p>
            <w:r>
              <w:t xml:space="preserve">Use a structured "I do, we do, you do" approach, focusing on systematic, phonics-based lessons that start with modeling, move to scaffolded practice, and end with independent application. </w:t>
            </w:r>
          </w:p>
        </w:tc>
        <w:tc>
          <w:tcPr>
            <w:vAlign w:val="center"/>
          </w:tcPr>
          <w:p>
            <w:r>
              <w:t xml:space="preserve">2025-04-06</w:t>
            </w:r>
          </w:p>
        </w:tc>
        <w:tc>
          <w:tcPr>
            <w:vAlign w:val="center"/>
          </w:tcPr>
          <w:p>
            <w:r>
              <w:t xml:space="preserve">2029-06-04</w:t>
            </w:r>
          </w:p>
        </w:tc>
      </w:tr>
      <w:tr>
        <w:tc>
          <w:tcPr>
            <w:vAlign w:val="center"/>
          </w:tcPr>
          <w:p>
            <w:r>
              <w:rPr>
                <w:b/>
              </w:rPr>
              <w:t xml:space="preserve">Lead Person/Position</w:t>
            </w:r>
          </w:p>
        </w:tc>
        <w:tc>
          <w:tcPr>
            <w:vAlign w:val="center"/>
          </w:tcPr>
          <w:p>
            <w:r>
              <w:rPr>
                <w:b/>
              </w:rPr>
              <w:t xml:space="preserve">Material/Resources/Supports Needed</w:t>
            </w:r>
          </w:p>
        </w:tc>
        <w:tc>
          <w:tcPr>
            <w:vAlign w:val="center"/>
          </w:tcPr>
          <w:p>
            <w:r>
              <w:rPr>
                <w:b/>
              </w:rPr>
              <w:t xml:space="preserve">PD Step?</w:t>
            </w:r>
          </w:p>
        </w:tc>
        <w:tc>
          <w:tcPr>
            <w:vAlign w:val="center"/>
          </w:tcPr>
          <w:p>
            <w:r>
              <w:rPr>
                <w:b/>
              </w:rPr>
              <w:t xml:space="preserve">Com Step?</w:t>
            </w:r>
          </w:p>
        </w:tc>
      </w:tr>
      <w:tr>
        <w:tc>
          <w:tcPr>
            <w:vAlign w:val="center"/>
          </w:tcPr>
          <w:p>
            <w:r>
              <w:t xml:space="preserve">Classroom teachers</w:t>
            </w:r>
          </w:p>
        </w:tc>
        <w:tc>
          <w:tcPr>
            <w:vAlign w:val="center"/>
          </w:tcPr>
          <w:p>
            <w:r>
              <w:t xml:space="preserve">Decodable texts, grade-level passages, timers, Reading A to Z, whiteboards and whiteboard sleeves, clear protective sleeves. Time to collaborate and create. Montessori Works, Educational Games</w:t>
            </w:r>
          </w:p>
        </w:tc>
        <w:tc>
          <w:tcPr>
            <w:vAlign w:val="center"/>
          </w:tcPr>
          <w:p>
            <w:r>
              <w:t xml:space="preserve">Yes                                                                </w:t>
            </w:r>
          </w:p>
        </w:tc>
        <w:tc>
          <w:tcPr>
            <w:vAlign w:val="center"/>
          </w:tcPr>
          <w:p>
            <w:r>
              <w:t xml:space="preserve">Yes                                                                </w:t>
            </w:r>
          </w:p>
        </w:tc>
      </w:tr>
    </w:tbl>
    <w:p/>
    <w:tbl>
      <w:tblPr>
        <w:tblStyle w:val="TableGrid"/>
        <w:tblW w:w="5000" w:type="pct"/>
      </w:tblPr>
      <w:tblGrid>
        <w:gridCol/>
        <w:gridCol/>
        <w:gridCol/>
        <w:gridCol/>
      </w:tblGrid>
      <w:tr>
        <w:tc>
          <w:tcPr>
            <w:gridSpan w:val="2"/>
            <w:vAlign w:val="center"/>
          </w:tcPr>
          <w:p>
            <w:r>
              <w:rPr>
                <w:b/>
              </w:rPr>
              <w:t xml:space="preserve">Action Step</w:t>
            </w:r>
          </w:p>
        </w:tc>
        <w:tc>
          <w:tcPr>
            <w:vAlign w:val="center"/>
          </w:tcPr>
          <w:p>
            <w:r>
              <w:rPr>
                <w:b/>
              </w:rPr>
              <w:t xml:space="preserve">Anticipated Start Date</w:t>
            </w:r>
          </w:p>
        </w:tc>
        <w:tc>
          <w:tcPr>
            <w:vAlign w:val="center"/>
          </w:tcPr>
          <w:p>
            <w:r>
              <w:rPr>
                <w:b/>
              </w:rPr>
              <w:t xml:space="preserve">Anticipated Completion Date</w:t>
            </w:r>
          </w:p>
        </w:tc>
      </w:tr>
      <w:tr>
        <w:tc>
          <w:tcPr>
            <w:gridSpan w:val="2"/>
            <w:vAlign w:val="center"/>
          </w:tcPr>
          <w:p>
            <w:r>
              <w:t xml:space="preserve">Review ELA programs that align with the "Science of Reading"—specifically targeting phonemic awareness, phonics, fluency, vocabulary, and comprehension, supported by peer-reviewed studies and data. Then decide which program to purchase.</w:t>
            </w:r>
          </w:p>
        </w:tc>
        <w:tc>
          <w:tcPr>
            <w:vAlign w:val="center"/>
          </w:tcPr>
          <w:p>
            <w:r>
              <w:t xml:space="preserve">2026-09-01</w:t>
            </w:r>
          </w:p>
        </w:tc>
        <w:tc>
          <w:tcPr>
            <w:vAlign w:val="center"/>
          </w:tcPr>
          <w:p>
            <w:r>
              <w:t xml:space="preserve">2028-06-05</w:t>
            </w:r>
          </w:p>
        </w:tc>
      </w:tr>
      <w:tr>
        <w:tc>
          <w:tcPr>
            <w:vAlign w:val="center"/>
          </w:tcPr>
          <w:p>
            <w:r>
              <w:rPr>
                <w:b/>
              </w:rPr>
              <w:t xml:space="preserve">Lead Person/Position</w:t>
            </w:r>
          </w:p>
        </w:tc>
        <w:tc>
          <w:tcPr>
            <w:vAlign w:val="center"/>
          </w:tcPr>
          <w:p>
            <w:r>
              <w:rPr>
                <w:b/>
              </w:rPr>
              <w:t xml:space="preserve">Material/Resources/Supports Needed</w:t>
            </w:r>
          </w:p>
        </w:tc>
        <w:tc>
          <w:tcPr>
            <w:vAlign w:val="center"/>
          </w:tcPr>
          <w:p>
            <w:r>
              <w:rPr>
                <w:b/>
              </w:rPr>
              <w:t xml:space="preserve">PD Step?</w:t>
            </w:r>
          </w:p>
        </w:tc>
        <w:tc>
          <w:tcPr>
            <w:vAlign w:val="center"/>
          </w:tcPr>
          <w:p>
            <w:r>
              <w:rPr>
                <w:b/>
              </w:rPr>
              <w:t xml:space="preserve">Com Step?</w:t>
            </w:r>
          </w:p>
        </w:tc>
      </w:tr>
      <w:tr>
        <w:tc>
          <w:tcPr>
            <w:vAlign w:val="center"/>
          </w:tcPr>
          <w:p>
            <w:r>
              <w:t xml:space="preserve">Dr. Tammy Hogan: Assistant Principal
Loren Stauffer: RtI
</w:t>
            </w:r>
          </w:p>
        </w:tc>
        <w:tc>
          <w:tcPr>
            <w:vAlign w:val="center"/>
          </w:tcPr>
          <w:p>
            <w:r>
              <w:t xml:space="preserve">Materials from a variety of companies to review.</w:t>
            </w:r>
          </w:p>
        </w:tc>
        <w:tc>
          <w:tcPr>
            <w:vAlign w:val="center"/>
          </w:tcPr>
          <w:p>
            <w:r>
              <w:t xml:space="preserve">No                                                                </w:t>
            </w:r>
          </w:p>
        </w:tc>
        <w:tc>
          <w:tcPr>
            <w:vAlign w:val="center"/>
          </w:tcPr>
          <w:p>
            <w:r>
              <w:t xml:space="preserve">Yes                                                                </w:t>
            </w:r>
          </w:p>
        </w:tc>
      </w:tr>
    </w:tbl>
    <w:p/>
    <w:tbl>
      <w:tblPr>
        <w:tblStyle w:val="TableGrid"/>
        <w:tblW w:w="5000" w:type="pct"/>
      </w:tblPr>
      <w:tblGrid>
        <w:gridCol/>
        <w:gridCol/>
      </w:tblGrid>
      <w:tr>
        <w:tc>
          <w:tcPr>
            <w:vAlign w:val="center"/>
          </w:tcPr>
          <w:p>
            <w:r>
              <w:rPr>
                <w:b/>
              </w:rPr>
              <w:t xml:space="preserve">Anticipated Output</w:t>
            </w:r>
          </w:p>
        </w:tc>
        <w:tc>
          <w:tcPr>
            <w:vAlign w:val="center"/>
          </w:tcPr>
          <w:p>
            <w:r>
              <w:rPr>
                <w:b/>
              </w:rPr>
              <w:t xml:space="preserve">Monitoring/Evaluation (People, Frequency, and Method)</w:t>
            </w:r>
          </w:p>
        </w:tc>
      </w:tr>
      <w:tr>
        <w:tc>
          <w:tcPr>
            <w:vAlign w:val="center"/>
          </w:tcPr>
          <w:p>
            <w:r>
              <w:t xml:space="preserve">Students will increase in fluency and confidence in reading.</w:t>
            </w:r>
          </w:p>
        </w:tc>
        <w:tc>
          <w:tcPr>
            <w:vAlign w:val="center"/>
          </w:tcPr>
          <w:p>
            <w:r>
              <w:t xml:space="preserve">Teachers and/or assistants will provide students with verbal feedback on their fluency progress at least once a quarter.</w:t>
            </w:r>
          </w:p>
        </w:tc>
      </w:tr>
    </w:tbl>
    <w:p>
      <w:r>
        <w:br/>
      </w:r>
    </w:p>
    <w:p>
      <w:pPr>
        <w:pStyle w:val="Heading2"/>
      </w:pPr>
      <w:r>
        <w:t xml:space="preserve">Action Plan For: Explicit Instruction</w:t>
      </w:r>
    </w:p>
    <w:tbl>
      <w:tblPr>
        <w:tblStyle w:val="TableGrid"/>
        <w:tblW w:w="5000" w:type="pct"/>
      </w:tblPr>
      <w:tblGrid>
        <w:gridCol/>
        <w:gridCol/>
        <w:gridCol/>
        <w:gridCol/>
      </w:tblGrid>
      <w:tr>
        <w:tc>
          <w:tcPr>
            <w:gridSpan w:val="4"/>
            <w:vAlign w:val="center"/>
          </w:tcPr>
          <w:p>
            <w:r>
              <w:rPr>
                <w:b/>
              </w:rPr>
              <w:t xml:space="preserve">Measurable Goals:</w:t>
            </w:r>
          </w:p>
        </w:tc>
      </w:tr>
      <w:tr>
        <w:tc>
          <w:tcPr>
            <w:gridSpan w:val="4"/>
            <w:vAlign w:val="center"/>
          </w:tcPr>
          <w:p>
            <w:pPr>
              <w:pStyle w:val="ListParagraph"/>
              <w:numPr>
                <w:ilvl w:val="0"/>
                <w:numId w:val="9"/>
              </w:numPr>
            </w:pPr>
            <w:r>
              <w:t xml:space="preserve">By the end of the school year, classroom and support teachers will have met with each student for a minimum of four conferences to discuss academic successes and progress toward grade-level expectations.</w:t>
            </w:r>
          </w:p>
          <w:p>
            <w:pPr>
              <w:pStyle w:val="ListParagraph"/>
              <w:numPr>
                <w:ilvl w:val="0"/>
                <w:numId w:val="9"/>
              </w:numPr>
            </w:pPr>
            <w:r>
              <w:t xml:space="preserve">Through the use of a survey at the beginning, middle, and end of the year, 80% students will demonstrate an increase in academic confidence and overall reduction of performance stress by the end of the school year.</w:t>
            </w:r>
          </w:p>
          <w:p>
            <w:pPr>
              <w:pStyle w:val="ListParagraph"/>
              <w:numPr>
                <w:ilvl w:val="0"/>
                <w:numId w:val="9"/>
              </w:numPr>
            </w:pPr>
            <w:r>
              <w:t xml:space="preserve">Utilizing the Pathways of Progress, 80% K-2 students will demonstrate typical or above typical progress toward grade-specific goals in Numbers, Operations, and Algebraic Concepts by the end of each academic year.</w:t>
            </w:r>
          </w:p>
          <w:p>
            <w:pPr>
              <w:pStyle w:val="ListParagraph"/>
              <w:numPr>
                <w:ilvl w:val="0"/>
                <w:numId w:val="9"/>
              </w:numPr>
            </w:pPr>
            <w:r>
              <w:t xml:space="preserve">80% of students in Grades 3-6 will self-report an increase in motivation, academic buy-in, and student ownership of learning through the use of a minimum of three surveys and teacher-facilitated student-led goals by the end of the school year.</w:t>
            </w:r>
          </w:p>
        </w:tc>
      </w:tr>
    </w:tbl>
    <w:p/>
    <w:tbl>
      <w:tblPr>
        <w:tblStyle w:val="TableGrid"/>
        <w:tblW w:w="5000" w:type="pct"/>
      </w:tblPr>
      <w:tblGrid>
        <w:gridCol/>
        <w:gridCol/>
        <w:gridCol/>
        <w:gridCol/>
      </w:tblGrid>
      <w:tr>
        <w:tc>
          <w:tcPr>
            <w:gridSpan w:val="2"/>
            <w:vAlign w:val="center"/>
          </w:tcPr>
          <w:p>
            <w:r>
              <w:rPr>
                <w:b/>
              </w:rPr>
              <w:t xml:space="preserve">Action Step</w:t>
            </w:r>
          </w:p>
        </w:tc>
        <w:tc>
          <w:tcPr>
            <w:vAlign w:val="center"/>
          </w:tcPr>
          <w:p>
            <w:r>
              <w:rPr>
                <w:b/>
              </w:rPr>
              <w:t xml:space="preserve">Anticipated Start Date</w:t>
            </w:r>
          </w:p>
        </w:tc>
        <w:tc>
          <w:tcPr>
            <w:vAlign w:val="center"/>
          </w:tcPr>
          <w:p>
            <w:r>
              <w:rPr>
                <w:b/>
              </w:rPr>
              <w:t xml:space="preserve">Anticipated Completion Date</w:t>
            </w:r>
          </w:p>
        </w:tc>
      </w:tr>
      <w:tr>
        <w:tc>
          <w:tcPr>
            <w:gridSpan w:val="2"/>
            <w:vAlign w:val="center"/>
          </w:tcPr>
          <w:p>
            <w:r>
              <w:t xml:space="preserve">Create and use Works that promote foundational and conceptual understanding of Numbers, Operations, and Algebraic concepts.</w:t>
            </w:r>
          </w:p>
        </w:tc>
        <w:tc>
          <w:tcPr>
            <w:vAlign w:val="center"/>
          </w:tcPr>
          <w:p>
            <w:r>
              <w:t xml:space="preserve">2026-03-11</w:t>
            </w:r>
          </w:p>
        </w:tc>
        <w:tc>
          <w:tcPr>
            <w:vAlign w:val="center"/>
          </w:tcPr>
          <w:p>
            <w:r>
              <w:t xml:space="preserve">2029-06-04</w:t>
            </w:r>
          </w:p>
        </w:tc>
      </w:tr>
      <w:tr>
        <w:tc>
          <w:tcPr>
            <w:vAlign w:val="center"/>
          </w:tcPr>
          <w:p>
            <w:r>
              <w:rPr>
                <w:b/>
              </w:rPr>
              <w:t xml:space="preserve">Lead Person/Position</w:t>
            </w:r>
          </w:p>
        </w:tc>
        <w:tc>
          <w:tcPr>
            <w:vAlign w:val="center"/>
          </w:tcPr>
          <w:p>
            <w:r>
              <w:rPr>
                <w:b/>
              </w:rPr>
              <w:t xml:space="preserve">Material/Resources/Supports Needed</w:t>
            </w:r>
          </w:p>
        </w:tc>
        <w:tc>
          <w:tcPr>
            <w:vAlign w:val="center"/>
          </w:tcPr>
          <w:p>
            <w:r>
              <w:rPr>
                <w:b/>
              </w:rPr>
              <w:t xml:space="preserve">PD Step?</w:t>
            </w:r>
          </w:p>
        </w:tc>
        <w:tc>
          <w:tcPr>
            <w:vAlign w:val="center"/>
          </w:tcPr>
          <w:p>
            <w:r>
              <w:rPr>
                <w:b/>
              </w:rPr>
              <w:t xml:space="preserve">Com Step?</w:t>
            </w:r>
          </w:p>
        </w:tc>
      </w:tr>
      <w:tr>
        <w:tc>
          <w:tcPr>
            <w:vAlign w:val="center"/>
          </w:tcPr>
          <w:p>
            <w:r>
              <w:t xml:space="preserve">Dr. Tammy Hogan: Assistant Principal
Classroom Teachers</w:t>
            </w:r>
          </w:p>
        </w:tc>
        <w:tc>
          <w:tcPr>
            <w:vAlign w:val="center"/>
          </w:tcPr>
          <w:p>
            <w:r>
              <w:t xml:space="preserve">Montessori Works
Ten-Frame Mats	
Two-Color Counters
Rekenreks	
Bucket Balance	
Dot Cards</w:t>
            </w:r>
          </w:p>
        </w:tc>
        <w:tc>
          <w:tcPr>
            <w:vAlign w:val="center"/>
          </w:tcPr>
          <w:p>
            <w:r>
              <w:t xml:space="preserve">Yes                                                                </w:t>
            </w:r>
          </w:p>
        </w:tc>
        <w:tc>
          <w:tcPr>
            <w:vAlign w:val="center"/>
          </w:tcPr>
          <w:p>
            <w:r>
              <w:t xml:space="preserve">Yes                                                                </w:t>
            </w:r>
          </w:p>
        </w:tc>
      </w:tr>
    </w:tbl>
    <w:p/>
    <w:tbl>
      <w:tblPr>
        <w:tblStyle w:val="TableGrid"/>
        <w:tblW w:w="5000" w:type="pct"/>
      </w:tblPr>
      <w:tblGrid>
        <w:gridCol/>
        <w:gridCol/>
      </w:tblGrid>
      <w:tr>
        <w:tc>
          <w:tcPr>
            <w:vAlign w:val="center"/>
          </w:tcPr>
          <w:p>
            <w:r>
              <w:rPr>
                <w:b/>
              </w:rPr>
              <w:t xml:space="preserve">Anticipated Output</w:t>
            </w:r>
          </w:p>
        </w:tc>
        <w:tc>
          <w:tcPr>
            <w:vAlign w:val="center"/>
          </w:tcPr>
          <w:p>
            <w:r>
              <w:rPr>
                <w:b/>
              </w:rPr>
              <w:t xml:space="preserve">Monitoring/Evaluation (People, Frequency, and Method)</w:t>
            </w:r>
          </w:p>
        </w:tc>
      </w:tr>
      <w:tr>
        <w:tc>
          <w:tcPr>
            <w:vAlign w:val="center"/>
          </w:tcPr>
          <w:p>
            <w:r>
              <w:t xml:space="preserve">Students will have a greater foundational understanding of Numbers, Operations, and Algebraic concepts.</w:t>
            </w:r>
          </w:p>
        </w:tc>
        <w:tc>
          <w:tcPr>
            <w:vAlign w:val="center"/>
          </w:tcPr>
          <w:p>
            <w:r>
              <w:t xml:space="preserve">Teachers will use Pathways of Progress monitor the students' progress</w:t>
            </w:r>
          </w:p>
        </w:tc>
      </w:tr>
    </w:tbl>
    <w:p>
      <w:r>
        <w:br/>
      </w:r>
    </w:p>
    <w:p>
      <w:pPr>
        <w:pStyle w:val="Heading2"/>
      </w:pPr>
      <w:r>
        <w:t xml:space="preserve">Action Plan For: Active Feedback</w:t>
      </w:r>
    </w:p>
    <w:tbl>
      <w:tblPr>
        <w:tblStyle w:val="TableGrid"/>
        <w:tblW w:w="5000" w:type="pct"/>
      </w:tblPr>
      <w:tblGrid>
        <w:gridCol/>
        <w:gridCol/>
        <w:gridCol/>
        <w:gridCol/>
      </w:tblGrid>
      <w:tr>
        <w:tc>
          <w:tcPr>
            <w:gridSpan w:val="4"/>
            <w:vAlign w:val="center"/>
          </w:tcPr>
          <w:p>
            <w:r>
              <w:rPr>
                <w:b/>
              </w:rPr>
              <w:t xml:space="preserve">Measurable Goals:</w:t>
            </w:r>
          </w:p>
        </w:tc>
      </w:tr>
      <w:tr>
        <w:tc>
          <w:tcPr>
            <w:gridSpan w:val="4"/>
            <w:vAlign w:val="center"/>
          </w:tcPr>
          <w:p>
            <w:pPr>
              <w:pStyle w:val="ListParagraph"/>
              <w:numPr>
                <w:ilvl w:val="0"/>
                <w:numId w:val="10"/>
              </w:numPr>
            </w:pPr>
            <w:r>
              <w:t xml:space="preserve">By the end of the school year, classroom and support teachers will have met with each student for a minimum of four conferences to discuss academic successes and progress toward grade-level expectations.</w:t>
            </w:r>
          </w:p>
          <w:p>
            <w:pPr>
              <w:pStyle w:val="ListParagraph"/>
              <w:numPr>
                <w:ilvl w:val="0"/>
                <w:numId w:val="10"/>
              </w:numPr>
            </w:pPr>
            <w:r>
              <w:t xml:space="preserve">Teachers will report 80% of students will demonstrate increased stamina and intrinsic motivation when supported with evidence-based strategies as measured through observation and classroom-based data by the end of the school year.</w:t>
            </w:r>
          </w:p>
          <w:p>
            <w:pPr>
              <w:pStyle w:val="ListParagraph"/>
              <w:numPr>
                <w:ilvl w:val="0"/>
                <w:numId w:val="10"/>
              </w:numPr>
            </w:pPr>
            <w:r>
              <w:t xml:space="preserve">Through the use of a survey at the beginning, middle, and end of the year, 80% students will demonstrate an increase in academic confidence and overall reduction of performance stress by the end of the school year.</w:t>
            </w:r>
          </w:p>
        </w:tc>
      </w:tr>
    </w:tbl>
    <w:p/>
    <w:tbl>
      <w:tblPr>
        <w:tblStyle w:val="TableGrid"/>
        <w:tblW w:w="5000" w:type="pct"/>
      </w:tblPr>
      <w:tblGrid>
        <w:gridCol/>
        <w:gridCol/>
        <w:gridCol/>
        <w:gridCol/>
      </w:tblGrid>
      <w:tr>
        <w:tc>
          <w:tcPr>
            <w:gridSpan w:val="2"/>
            <w:vAlign w:val="center"/>
          </w:tcPr>
          <w:p>
            <w:r>
              <w:rPr>
                <w:b/>
              </w:rPr>
              <w:t xml:space="preserve">Action Step</w:t>
            </w:r>
          </w:p>
        </w:tc>
        <w:tc>
          <w:tcPr>
            <w:vAlign w:val="center"/>
          </w:tcPr>
          <w:p>
            <w:r>
              <w:rPr>
                <w:b/>
              </w:rPr>
              <w:t xml:space="preserve">Anticipated Start Date</w:t>
            </w:r>
          </w:p>
        </w:tc>
        <w:tc>
          <w:tcPr>
            <w:vAlign w:val="center"/>
          </w:tcPr>
          <w:p>
            <w:r>
              <w:rPr>
                <w:b/>
              </w:rPr>
              <w:t xml:space="preserve">Anticipated Completion Date</w:t>
            </w:r>
          </w:p>
        </w:tc>
      </w:tr>
      <w:tr>
        <w:tc>
          <w:tcPr>
            <w:gridSpan w:val="2"/>
            <w:vAlign w:val="center"/>
          </w:tcPr>
          <w:p>
            <w:r>
              <w:t xml:space="preserve">Provide timely, specific, and constructive feedback that highlights progress.</w:t>
            </w:r>
          </w:p>
        </w:tc>
        <w:tc>
          <w:tcPr>
            <w:vAlign w:val="center"/>
          </w:tcPr>
          <w:p>
            <w:r>
              <w:t xml:space="preserve">2026-09-12</w:t>
            </w:r>
          </w:p>
        </w:tc>
        <w:tc>
          <w:tcPr>
            <w:vAlign w:val="center"/>
          </w:tcPr>
          <w:p>
            <w:r>
              <w:t xml:space="preserve">2029-06-04</w:t>
            </w:r>
          </w:p>
        </w:tc>
      </w:tr>
      <w:tr>
        <w:tc>
          <w:tcPr>
            <w:vAlign w:val="center"/>
          </w:tcPr>
          <w:p>
            <w:r>
              <w:rPr>
                <w:b/>
              </w:rPr>
              <w:t xml:space="preserve">Lead Person/Position</w:t>
            </w:r>
          </w:p>
        </w:tc>
        <w:tc>
          <w:tcPr>
            <w:vAlign w:val="center"/>
          </w:tcPr>
          <w:p>
            <w:r>
              <w:rPr>
                <w:b/>
              </w:rPr>
              <w:t xml:space="preserve">Material/Resources/Supports Needed</w:t>
            </w:r>
          </w:p>
        </w:tc>
        <w:tc>
          <w:tcPr>
            <w:vAlign w:val="center"/>
          </w:tcPr>
          <w:p>
            <w:r>
              <w:rPr>
                <w:b/>
              </w:rPr>
              <w:t xml:space="preserve">PD Step?</w:t>
            </w:r>
          </w:p>
        </w:tc>
        <w:tc>
          <w:tcPr>
            <w:vAlign w:val="center"/>
          </w:tcPr>
          <w:p>
            <w:r>
              <w:rPr>
                <w:b/>
              </w:rPr>
              <w:t xml:space="preserve">Com Step?</w:t>
            </w:r>
          </w:p>
        </w:tc>
      </w:tr>
      <w:tr>
        <w:tc>
          <w:tcPr>
            <w:vAlign w:val="center"/>
          </w:tcPr>
          <w:p>
            <w:r>
              <w:t xml:space="preserve">Classroom Teachers</w:t>
            </w:r>
          </w:p>
        </w:tc>
        <w:tc>
          <w:tcPr>
            <w:vAlign w:val="center"/>
          </w:tcPr>
          <w:p>
            <w:r>
              <w:t xml:space="preserve">Completed assignments, sticky notes, colored markers for "Glow and Grow" (strengths/improvements), individual whiteboards, and support using checklists and student self-assessment routines. </w:t>
            </w:r>
          </w:p>
        </w:tc>
        <w:tc>
          <w:tcPr>
            <w:vAlign w:val="center"/>
          </w:tcPr>
          <w:p>
            <w:r>
              <w:t xml:space="preserve">Yes                                                                </w:t>
            </w:r>
          </w:p>
        </w:tc>
        <w:tc>
          <w:tcPr>
            <w:vAlign w:val="center"/>
          </w:tcPr>
          <w:p>
            <w:r>
              <w:t xml:space="preserve">Yes                                                                </w:t>
            </w:r>
          </w:p>
        </w:tc>
      </w:tr>
    </w:tbl>
    <w:p/>
    <w:tbl>
      <w:tblPr>
        <w:tblStyle w:val="TableGrid"/>
        <w:tblW w:w="5000" w:type="pct"/>
      </w:tblPr>
      <w:tblGrid>
        <w:gridCol/>
        <w:gridCol/>
      </w:tblGrid>
      <w:tr>
        <w:tc>
          <w:tcPr>
            <w:vAlign w:val="center"/>
          </w:tcPr>
          <w:p>
            <w:r>
              <w:rPr>
                <w:b/>
              </w:rPr>
              <w:t xml:space="preserve">Anticipated Output</w:t>
            </w:r>
          </w:p>
        </w:tc>
        <w:tc>
          <w:tcPr>
            <w:vAlign w:val="center"/>
          </w:tcPr>
          <w:p>
            <w:r>
              <w:rPr>
                <w:b/>
              </w:rPr>
              <w:t xml:space="preserve">Monitoring/Evaluation (People, Frequency, and Method)</w:t>
            </w:r>
          </w:p>
        </w:tc>
      </w:tr>
      <w:tr>
        <w:tc>
          <w:tcPr>
            <w:vAlign w:val="center"/>
          </w:tcPr>
          <w:p>
            <w:r>
              <w:t xml:space="preserve">Students will demonstrate more confidence and motivation when completing assignments. </w:t>
            </w:r>
          </w:p>
        </w:tc>
        <w:tc>
          <w:tcPr>
            <w:vAlign w:val="center"/>
          </w:tcPr>
          <w:p>
            <w:r>
              <w:t xml:space="preserve">Classroom teachers will provide regular small-group and individual conferences to students.</w:t>
            </w:r>
          </w:p>
        </w:tc>
      </w:tr>
    </w:tbl>
    <w:p>
      <w:r>
        <w:br/>
      </w:r>
      <w:r>
        <w:br/>
      </w:r>
      <w:r>
        <w:br/>
      </w:r>
      <w:r>
        <w:br/>
      </w:r>
      <w:r>
        <w:br/>
      </w:r>
      <w:r>
        <w:br/>
      </w:r>
      <w:r>
        <w:br/>
      </w:r>
      <w:r>
        <w:br w:type="page"/>
      </w:r>
      <w:r>
        <w:lastRenderedPageBreak/>
      </w:r>
    </w:p>
    <w:p>
      <w:pPr>
        <w:pStyle w:val="Heading1"/>
      </w:pPr>
      <w:r>
        <w:t xml:space="preserve">Expenditure Tables</w:t>
      </w:r>
    </w:p>
    <w:p>
      <w:pPr>
        <w:pStyle w:val="Heading2"/>
      </w:pPr>
      <w:r>
        <w:t xml:space="preserve">School Improvement Set Aside Grant</w:t>
      </w:r>
    </w:p>
    <w:p>
      <w:r>
        <w:rPr>
          <w:b/>
        </w:rPr>
        <w:t xml:space="preserve">True </w:t>
      </w:r>
      <w:r>
        <w:t xml:space="preserve">School does not receive School Improvement Set Aside Grant.                            </w:t>
      </w:r>
    </w:p>
    <w:p>
      <w:pPr>
        <w:pStyle w:val="Heading2"/>
      </w:pPr>
      <w:r>
        <w:t xml:space="preserve">Schoolwide Title 1 Funding Allocation</w:t>
      </w:r>
    </w:p>
    <w:p>
      <w:r>
        <w:rPr>
          <w:b/>
        </w:rPr>
        <w:t xml:space="preserve">True </w:t>
      </w:r>
      <w:r>
        <w:t xml:space="preserve">School does not receive Schoolwide Title 1 funding.</w:t>
      </w:r>
      <w:r>
        <w:br/>
      </w:r>
      <w:r>
        <w:br/>
      </w:r>
      <w:r>
        <w:br/>
      </w:r>
      <w:r>
        <w:br/>
      </w:r>
      <w:r>
        <w:br/>
      </w:r>
      <w:r>
        <w:br/>
      </w:r>
      <w:r>
        <w:br/>
      </w:r>
      <w:r>
        <w:br/>
      </w:r>
      <w:r>
        <w:br w:type="page"/>
      </w:r>
      <w:r>
        <w:lastRenderedPageBreak/>
      </w:r>
    </w:p>
    <w:p>
      <w:pPr>
        <w:pStyle w:val="Heading1"/>
      </w:pPr>
      <w:r>
        <w:t xml:space="preserve">Professional Development</w:t>
      </w:r>
    </w:p>
    <w:p>
      <w:pPr>
        <w:pStyle w:val="Heading2"/>
      </w:pPr>
      <w:r>
        <w:t xml:space="preserve">Professional Development Action Steps</w:t>
      </w:r>
    </w:p>
    <w:tbl>
      <w:tblPr>
        <w:tblStyle w:val="TableGrid"/>
        <w:tblW w:w="5000" w:type="pct"/>
      </w:tblPr>
      <w:tblGrid>
        <w:gridCol/>
        <w:gridCol/>
      </w:tblGrid>
      <w:tr>
        <w:tc>
          <w:tcPr>
            <w:vAlign w:val="center"/>
          </w:tcPr>
          <w:p>
            <w:r>
              <w:rPr>
                <w:b/>
              </w:rPr>
              <w:t xml:space="preserve">Evidence-based Strategy</w:t>
            </w:r>
          </w:p>
        </w:tc>
        <w:tc>
          <w:tcPr>
            <w:vAlign w:val="center"/>
          </w:tcPr>
          <w:p>
            <w:r>
              <w:t xml:space="preserve">Action Steps</w:t>
            </w:r>
          </w:p>
        </w:tc>
      </w:tr>
      <w:tr>
        <w:tc>
          <w:tcPr>
            <w:vAlign w:val="center"/>
          </w:tcPr>
          <w:p>
            <w:r>
              <w:t xml:space="preserve">Zones of Regulation</w:t>
            </w:r>
          </w:p>
        </w:tc>
        <w:tc>
          <w:tcPr>
            <w:vAlign w:val="center"/>
          </w:tcPr>
          <w:p>
            <w:r>
              <w:t xml:space="preserve">Implementation of Zones of Regulation for grades 3-6  and the continuation of it in lower elementary.</w:t>
            </w:r>
          </w:p>
        </w:tc>
      </w:tr>
      <w:tr>
        <w:tc>
          <w:tcPr>
            <w:vAlign w:val="center"/>
          </w:tcPr>
          <w:p>
            <w:r>
              <w:t xml:space="preserve">Repeated Reading</w:t>
            </w:r>
          </w:p>
        </w:tc>
        <w:tc>
          <w:tcPr>
            <w:vAlign w:val="center"/>
          </w:tcPr>
          <w:p>
            <w:r>
              <w:t xml:space="preserve">Create and use Montessori Works that promote fluency to build rate, accuracy, and prosody. </w:t>
            </w:r>
          </w:p>
        </w:tc>
      </w:tr>
      <w:tr>
        <w:tc>
          <w:tcPr>
            <w:vAlign w:val="center"/>
          </w:tcPr>
          <w:p>
            <w:r>
              <w:t xml:space="preserve">Explicit Instruction</w:t>
            </w:r>
          </w:p>
        </w:tc>
        <w:tc>
          <w:tcPr>
            <w:vAlign w:val="center"/>
          </w:tcPr>
          <w:p>
            <w:r>
              <w:t xml:space="preserve">Use a structured "I do, we do, you do" approach, focusing on systematic, phonics-based lessons that start with modeling, move to scaffolded practice, and end with independent application. </w:t>
            </w:r>
          </w:p>
        </w:tc>
      </w:tr>
      <w:tr>
        <w:tc>
          <w:tcPr>
            <w:vAlign w:val="center"/>
          </w:tcPr>
          <w:p>
            <w:r>
              <w:t xml:space="preserve">Explicit Instruction</w:t>
            </w:r>
          </w:p>
        </w:tc>
        <w:tc>
          <w:tcPr>
            <w:vAlign w:val="center"/>
          </w:tcPr>
          <w:p>
            <w:r>
              <w:t xml:space="preserve">Create and use Works that promote foundational and conceptual understanding of Numbers, Operations, and Algebraic concepts.</w:t>
            </w:r>
          </w:p>
        </w:tc>
      </w:tr>
      <w:tr>
        <w:tc>
          <w:tcPr>
            <w:vAlign w:val="center"/>
          </w:tcPr>
          <w:p>
            <w:r>
              <w:t xml:space="preserve">Active Feedback</w:t>
            </w:r>
          </w:p>
        </w:tc>
        <w:tc>
          <w:tcPr>
            <w:vAlign w:val="center"/>
          </w:tcPr>
          <w:p>
            <w:r>
              <w:t xml:space="preserve">Provide timely, specific, and constructive feedback that highlights progress.</w:t>
            </w:r>
          </w:p>
        </w:tc>
      </w:tr>
    </w:tbl>
    <w:p>
      <w:pPr>
        <w:pStyle w:val="Heading2"/>
      </w:pPr>
      <w:r>
        <w:t xml:space="preserve">Zones of Regulation</w:t>
      </w:r>
    </w:p>
    <w:tbl>
      <w:tblPr>
        <w:tblStyle w:val="TableGrid"/>
        <w:tblW w:w="5000" w:type="pct"/>
      </w:tblPr>
      <w:tblGrid>
        <w:gridCol/>
        <w:gridCol/>
        <w:gridCol/>
      </w:tblGrid>
      <w:tr>
        <w:tc>
          <w:tcPr>
            <w:gridSpan w:val="3"/>
            <w:vAlign w:val="center"/>
          </w:tcPr>
          <w:p>
            <w:r>
              <w:rPr>
                <w:b/>
              </w:rPr>
              <w:t xml:space="preserve">Action Step</w:t>
            </w:r>
          </w:p>
        </w:tc>
      </w:tr>
      <w:tr>
        <w:tc>
          <w:tcPr>
            <w:gridSpan w:val="3"/>
            <w:vAlign w:val="center"/>
          </w:tcPr>
          <w:p>
            <w:pPr>
              <w:pStyle w:val="ListParagraph"/>
              <w:numPr>
                <w:ilvl w:val="0"/>
                <w:numId w:val="11"/>
              </w:numPr>
            </w:pPr>
            <w:r>
              <w:t xml:space="preserve">Implementation of Zones of Regulation for grades 3-6  and the continuation of it in lower elementary.</w:t>
            </w:r>
          </w:p>
        </w:tc>
      </w:tr>
      <w:tr>
        <w:tc>
          <w:tcPr>
            <w:gridSpan w:val="3"/>
            <w:vAlign w:val="center"/>
          </w:tcPr>
          <w:p>
            <w:r>
              <w:rPr>
                <w:b/>
              </w:rPr>
              <w:t xml:space="preserve">Audience</w:t>
            </w:r>
          </w:p>
        </w:tc>
      </w:tr>
      <w:tr>
        <w:tc>
          <w:tcPr>
            <w:gridSpan w:val="3"/>
            <w:vAlign w:val="center"/>
          </w:tcPr>
          <w:p>
            <w:r>
              <w:t xml:space="preserve">K-6 Teachers and Staff</w:t>
            </w:r>
          </w:p>
        </w:tc>
      </w:tr>
      <w:tr>
        <w:tc>
          <w:tcPr>
            <w:gridSpan w:val="3"/>
            <w:vAlign w:val="center"/>
          </w:tcPr>
          <w:p>
            <w:r>
              <w:rPr>
                <w:b/>
              </w:rPr>
              <w:t xml:space="preserve">Topics to be Included</w:t>
            </w:r>
          </w:p>
        </w:tc>
      </w:tr>
      <w:tr>
        <w:tc>
          <w:tcPr>
            <w:gridSpan w:val="3"/>
            <w:vAlign w:val="center"/>
          </w:tcPr>
          <w:p>
            <w:r>
              <w:t xml:space="preserve">Emotional Regulation and Self-Awareness. Recognizing which Zone they are in, Red, Yellow, Blue, or Green. Coping skills to recognize and refocus. Use a common language in the school.</w:t>
            </w:r>
          </w:p>
        </w:tc>
      </w:tr>
      <w:tr>
        <w:tc>
          <w:tcPr>
            <w:gridSpan w:val="3"/>
            <w:vAlign w:val="center"/>
          </w:tcPr>
          <w:p>
            <w:r>
              <w:rPr>
                <w:b/>
              </w:rPr>
              <w:t xml:space="preserve">Evidence of Learning</w:t>
            </w:r>
          </w:p>
        </w:tc>
      </w:tr>
      <w:tr>
        <w:tc>
          <w:tcPr>
            <w:gridSpan w:val="3"/>
            <w:vAlign w:val="center"/>
          </w:tcPr>
          <w:p>
            <w:r>
              <w:t xml:space="preserve">Teachers/staff use the Zones of Regulation language, colors, and spaces that support the theory.</w:t>
            </w:r>
          </w:p>
        </w:tc>
      </w:tr>
      <w:tr>
        <w:tc>
          <w:tcPr>
            <w:vAlign w:val="center"/>
          </w:tcPr>
          <w:p>
            <w:r>
              <w:rPr>
                <w:b/>
              </w:rPr>
              <w:t xml:space="preserve">Lead Person/Position</w:t>
            </w:r>
          </w:p>
        </w:tc>
        <w:tc>
          <w:tcPr>
            <w:vAlign w:val="center"/>
          </w:tcPr>
          <w:p>
            <w:r>
              <w:rPr>
                <w:b/>
              </w:rPr>
              <w:t xml:space="preserve">Anticipated Start</w:t>
            </w:r>
          </w:p>
        </w:tc>
        <w:tc>
          <w:tcPr>
            <w:vAlign w:val="center"/>
          </w:tcPr>
          <w:p>
            <w:r>
              <w:rPr>
                <w:b/>
              </w:rPr>
              <w:t xml:space="preserve">Anticipated Completion</w:t>
            </w:r>
          </w:p>
        </w:tc>
      </w:tr>
      <w:tr>
        <w:tc>
          <w:tcPr>
            <w:vAlign w:val="center"/>
          </w:tcPr>
          <w:p>
            <w:r>
              <w:t xml:space="preserve">Shamin Jegan: RtI
Cheryl Sornson: School Counselor</w:t>
            </w:r>
          </w:p>
        </w:tc>
        <w:tc>
          <w:tcPr>
            <w:vAlign w:val="center"/>
          </w:tcPr>
          <w:p>
            <w:r>
              <w:t xml:space="preserve">2026-08-15</w:t>
            </w:r>
          </w:p>
        </w:tc>
        <w:tc>
          <w:tcPr>
            <w:vAlign w:val="center"/>
          </w:tcPr>
          <w:p>
            <w:r>
              <w:t xml:space="preserve">2027-06-05</w:t>
            </w:r>
          </w:p>
        </w:tc>
      </w:tr>
    </w:tbl>
    <w:p>
      <w:pPr>
        <w:pStyle w:val="Heading2"/>
      </w:pPr>
      <w:r>
        <w:t xml:space="preserve">Learning Format</w:t>
      </w:r>
    </w:p>
    <w:tbl>
      <w:tblPr>
        <w:tblStyle w:val="TableGrid"/>
        <w:tblW w:w="5000" w:type="pct"/>
      </w:tblPr>
      <w:tblGrid>
        <w:gridCol/>
        <w:gridCol/>
      </w:tblGrid>
      <w:tr>
        <w:tc>
          <w:tcPr>
            <w:vAlign w:val="center"/>
          </w:tcPr>
          <w:p>
            <w:r>
              <w:rPr>
                <w:b/>
              </w:rPr>
              <w:t xml:space="preserve">Type of Activities</w:t>
            </w:r>
          </w:p>
        </w:tc>
        <w:tc>
          <w:tcPr>
            <w:vAlign w:val="center"/>
          </w:tcPr>
          <w:p>
            <w:r>
              <w:rPr>
                <w:b/>
              </w:rPr>
              <w:t xml:space="preserve">Frequency</w:t>
            </w:r>
          </w:p>
        </w:tc>
      </w:tr>
      <w:tr>
        <w:tc>
          <w:tcPr>
            <w:vAlign w:val="center"/>
          </w:tcPr>
          <w:p>
            <w:r>
              <w:t xml:space="preserve">Workshop(s)                                                        </w:t>
            </w:r>
          </w:p>
        </w:tc>
        <w:tc>
          <w:tcPr>
            <w:vAlign w:val="center"/>
          </w:tcPr>
          <w:p>
            <w:r>
              <w:t xml:space="preserve">Once, and then a yearly review.</w:t>
            </w:r>
          </w:p>
        </w:tc>
      </w:tr>
      <w:tr>
        <w:tc>
          <w:tcPr>
            <w:gridSpan w:val="2"/>
            <w:vAlign w:val="center"/>
          </w:tcPr>
          <w:p>
            <w:r>
              <w:rPr>
                <w:b/>
              </w:rPr>
              <w:t xml:space="preserve">Observation and Practice Framework Met in this Plan</w:t>
            </w:r>
          </w:p>
        </w:tc>
      </w:tr>
      <w:tr>
        <w:tc>
          <w:tcPr>
            <w:gridSpan w:val="2"/>
            <w:vAlign w:val="center"/>
          </w:tcPr>
          <w:p>
            <w:pPr>
              <w:pStyle w:val="ListParagraph"/>
              <w:numPr>
                <w:ilvl w:val="0"/>
                <w:numId w:val="12"/>
              </w:numPr>
            </w:pPr>
            <w:r>
              <w:t xml:space="preserve">2a: Creating an Environment of Respect and Rapport</w:t>
            </w:r>
          </w:p>
          <w:p>
            <w:pPr>
              <w:pStyle w:val="ListParagraph"/>
              <w:numPr>
                <w:ilvl w:val="0"/>
                <w:numId w:val="12"/>
              </w:numPr>
            </w:pPr>
            <w:r>
              <w:t xml:space="preserve">2b: Establishing a Culture for Learning</w:t>
            </w:r>
          </w:p>
          <w:p>
            <w:pPr>
              <w:pStyle w:val="ListParagraph"/>
              <w:numPr>
                <w:ilvl w:val="0"/>
                <w:numId w:val="12"/>
              </w:numPr>
            </w:pPr>
            <w:r>
              <w:t xml:space="preserve">2d: Managing Student Behavior</w:t>
            </w:r>
          </w:p>
          <w:p>
            <w:pPr>
              <w:pStyle w:val="ListParagraph"/>
              <w:numPr>
                <w:ilvl w:val="0"/>
                <w:numId w:val="12"/>
              </w:numPr>
            </w:pPr>
            <w:r>
              <w:t xml:space="preserve">3c: Engaging Students in Learning</w:t>
            </w:r>
          </w:p>
          <w:p>
            <w:pPr>
              <w:pStyle w:val="ListParagraph"/>
              <w:numPr>
                <w:ilvl w:val="0"/>
                <w:numId w:val="12"/>
              </w:numPr>
            </w:pPr>
            <w:r>
              <w:t xml:space="preserve">3a: Communicating with Students</w:t>
            </w:r>
          </w:p>
          <w:p>
            <w:pPr>
              <w:pStyle w:val="ListParagraph"/>
              <w:numPr>
                <w:ilvl w:val="0"/>
                <w:numId w:val="12"/>
              </w:numPr>
            </w:pPr>
            <w:r>
              <w:t xml:space="preserve">2e: Organizing Physical Space</w:t>
            </w:r>
          </w:p>
        </w:tc>
      </w:tr>
      <w:tr>
        <w:tc>
          <w:tcPr>
            <w:gridSpan w:val="2"/>
            <w:vAlign w:val="center"/>
          </w:tcPr>
          <w:p>
            <w:r>
              <w:rPr>
                <w:b/>
              </w:rPr>
              <w:t xml:space="preserve">This Step Meets the Requirements of State Required Trainings</w:t>
            </w:r>
          </w:p>
        </w:tc>
      </w:tr>
      <w:tr>
        <w:tc>
          <w:tcPr>
            <w:gridSpan w:val="2"/>
            <w:vAlign w:val="center"/>
          </w:tcPr>
          <w:p>
            <w:r>
              <w:t xml:space="preserve">Common Ground                                                        </w:t>
            </w:r>
          </w:p>
        </w:tc>
      </w:tr>
    </w:tbl>
    <w:p>
      <w:pPr>
        <w:pStyle w:val="Heading2"/>
      </w:pPr>
      <w:r>
        <w:t xml:space="preserve">Learning Format</w:t>
      </w:r>
    </w:p>
    <w:tbl>
      <w:tblPr>
        <w:tblStyle w:val="TableGrid"/>
        <w:tblW w:w="5000" w:type="pct"/>
      </w:tblPr>
      <w:tblGrid>
        <w:gridCol/>
        <w:gridCol/>
      </w:tblGrid>
      <w:tr>
        <w:tc>
          <w:tcPr>
            <w:vAlign w:val="center"/>
          </w:tcPr>
          <w:p>
            <w:r>
              <w:rPr>
                <w:b/>
              </w:rPr>
              <w:t xml:space="preserve">Type of Activities</w:t>
            </w:r>
          </w:p>
        </w:tc>
        <w:tc>
          <w:tcPr>
            <w:vAlign w:val="center"/>
          </w:tcPr>
          <w:p>
            <w:r>
              <w:rPr>
                <w:b/>
              </w:rPr>
              <w:t xml:space="preserve">Frequency</w:t>
            </w:r>
          </w:p>
        </w:tc>
      </w:tr>
      <w:tr>
        <w:tc>
          <w:tcPr>
            <w:vAlign w:val="center"/>
          </w:tcPr>
          <w:p>
            <w:r>
              <w:t xml:space="preserve">Coaching (peer-to-peer; school leader-to-teacher; other coaching models)                                                        </w:t>
            </w:r>
          </w:p>
        </w:tc>
        <w:tc>
          <w:tcPr>
            <w:vAlign w:val="center"/>
          </w:tcPr>
          <w:p>
            <w:r>
              <w:t xml:space="preserve">Monthly during grade-band meetings, staff meetings, and classroom visits.</w:t>
            </w:r>
          </w:p>
        </w:tc>
      </w:tr>
      <w:tr>
        <w:tc>
          <w:tcPr>
            <w:gridSpan w:val="2"/>
            <w:vAlign w:val="center"/>
          </w:tcPr>
          <w:p>
            <w:r>
              <w:rPr>
                <w:b/>
              </w:rPr>
              <w:t xml:space="preserve">Observation and Practice Framework Met in this Plan</w:t>
            </w:r>
          </w:p>
        </w:tc>
      </w:tr>
      <w:tr>
        <w:tc>
          <w:tcPr>
            <w:gridSpan w:val="2"/>
            <w:vAlign w:val="center"/>
          </w:tcPr>
          <w:p>
            <w:pPr>
              <w:pStyle w:val="ListParagraph"/>
              <w:numPr>
                <w:ilvl w:val="0"/>
                <w:numId w:val="13"/>
              </w:numPr>
            </w:pPr>
            <w:r>
              <w:t xml:space="preserve">2a: Creating an Environment of Respect and Rapport</w:t>
            </w:r>
          </w:p>
          <w:p>
            <w:pPr>
              <w:pStyle w:val="ListParagraph"/>
              <w:numPr>
                <w:ilvl w:val="0"/>
                <w:numId w:val="13"/>
              </w:numPr>
            </w:pPr>
            <w:r>
              <w:t xml:space="preserve">2b: Establishing a Culture for Learning</w:t>
            </w:r>
          </w:p>
          <w:p>
            <w:pPr>
              <w:pStyle w:val="ListParagraph"/>
              <w:numPr>
                <w:ilvl w:val="0"/>
                <w:numId w:val="13"/>
              </w:numPr>
            </w:pPr>
            <w:r>
              <w:t xml:space="preserve">2d: Managing Student Behavior</w:t>
            </w:r>
          </w:p>
          <w:p>
            <w:pPr>
              <w:pStyle w:val="ListParagraph"/>
              <w:numPr>
                <w:ilvl w:val="0"/>
                <w:numId w:val="13"/>
              </w:numPr>
            </w:pPr>
            <w:r>
              <w:t xml:space="preserve">2e: Organizing Physical Space</w:t>
            </w:r>
          </w:p>
          <w:p>
            <w:pPr>
              <w:pStyle w:val="ListParagraph"/>
              <w:numPr>
                <w:ilvl w:val="0"/>
                <w:numId w:val="13"/>
              </w:numPr>
            </w:pPr>
            <w:r>
              <w:t xml:space="preserve">3a: Communicating with Students</w:t>
            </w:r>
          </w:p>
        </w:tc>
      </w:tr>
      <w:tr>
        <w:tc>
          <w:tcPr>
            <w:gridSpan w:val="2"/>
            <w:vAlign w:val="center"/>
          </w:tcPr>
          <w:p>
            <w:r>
              <w:rPr>
                <w:b/>
              </w:rPr>
              <w:t xml:space="preserve">This Step Meets the Requirements of State Required Trainings</w:t>
            </w:r>
          </w:p>
        </w:tc>
      </w:tr>
      <w:tr>
        <w:tc>
          <w:tcPr>
            <w:gridSpan w:val="2"/>
            <w:vAlign w:val="center"/>
          </w:tcPr>
          <w:p>
            <w:r>
              <w:t xml:space="preserve">Common Ground                                                        </w:t>
            </w:r>
          </w:p>
        </w:tc>
      </w:tr>
    </w:tbl>
    <w:p>
      <w:pPr>
        <w:pStyle w:val="Heading2"/>
      </w:pPr>
      <w:r>
        <w:t xml:space="preserve">Repeated Reading</w:t>
      </w:r>
    </w:p>
    <w:tbl>
      <w:tblPr>
        <w:tblStyle w:val="TableGrid"/>
        <w:tblW w:w="5000" w:type="pct"/>
      </w:tblPr>
      <w:tblGrid>
        <w:gridCol/>
        <w:gridCol/>
        <w:gridCol/>
      </w:tblGrid>
      <w:tr>
        <w:tc>
          <w:tcPr>
            <w:gridSpan w:val="3"/>
            <w:vAlign w:val="center"/>
          </w:tcPr>
          <w:p>
            <w:r>
              <w:rPr>
                <w:b/>
              </w:rPr>
              <w:t xml:space="preserve">Action Step</w:t>
            </w:r>
          </w:p>
        </w:tc>
      </w:tr>
      <w:tr>
        <w:tc>
          <w:tcPr>
            <w:gridSpan w:val="3"/>
            <w:vAlign w:val="center"/>
          </w:tcPr>
          <w:p>
            <w:pPr>
              <w:pStyle w:val="ListParagraph"/>
              <w:numPr>
                <w:ilvl w:val="0"/>
                <w:numId w:val="14"/>
              </w:numPr>
            </w:pPr>
            <w:r>
              <w:t xml:space="preserve">Create and use Montessori Works that promote fluency to build rate, accuracy, and prosody. </w:t>
            </w:r>
          </w:p>
        </w:tc>
      </w:tr>
      <w:tr>
        <w:tc>
          <w:tcPr>
            <w:gridSpan w:val="3"/>
            <w:vAlign w:val="center"/>
          </w:tcPr>
          <w:p>
            <w:r>
              <w:rPr>
                <w:b/>
              </w:rPr>
              <w:t xml:space="preserve">Audience</w:t>
            </w:r>
          </w:p>
        </w:tc>
      </w:tr>
      <w:tr>
        <w:tc>
          <w:tcPr>
            <w:gridSpan w:val="3"/>
            <w:vAlign w:val="center"/>
          </w:tcPr>
          <w:p>
            <w:r>
              <w:t xml:space="preserve">Teachers and Staff</w:t>
            </w:r>
          </w:p>
        </w:tc>
      </w:tr>
      <w:tr>
        <w:tc>
          <w:tcPr>
            <w:gridSpan w:val="3"/>
            <w:vAlign w:val="center"/>
          </w:tcPr>
          <w:p>
            <w:r>
              <w:rPr>
                <w:b/>
              </w:rPr>
              <w:t xml:space="preserve">Topics to be Included</w:t>
            </w:r>
          </w:p>
        </w:tc>
      </w:tr>
      <w:tr>
        <w:tc>
          <w:tcPr>
            <w:gridSpan w:val="3"/>
            <w:vAlign w:val="center"/>
          </w:tcPr>
          <w:p>
            <w:r>
              <w:t xml:space="preserve">Fluency- related Montessori Works, and Repeated Reading Strategies and Activities</w:t>
            </w:r>
          </w:p>
        </w:tc>
      </w:tr>
      <w:tr>
        <w:tc>
          <w:tcPr>
            <w:gridSpan w:val="3"/>
            <w:vAlign w:val="center"/>
          </w:tcPr>
          <w:p>
            <w:r>
              <w:rPr>
                <w:b/>
              </w:rPr>
              <w:t xml:space="preserve">Evidence of Learning</w:t>
            </w:r>
          </w:p>
        </w:tc>
      </w:tr>
      <w:tr>
        <w:tc>
          <w:tcPr>
            <w:gridSpan w:val="3"/>
            <w:vAlign w:val="center"/>
          </w:tcPr>
          <w:p>
            <w:r>
              <w:t xml:space="preserve">The Pathways of Progress will indicate an increase in reading fluency.</w:t>
            </w:r>
          </w:p>
        </w:tc>
      </w:tr>
      <w:tr>
        <w:tc>
          <w:tcPr>
            <w:vAlign w:val="center"/>
          </w:tcPr>
          <w:p>
            <w:r>
              <w:rPr>
                <w:b/>
              </w:rPr>
              <w:t xml:space="preserve">Lead Person/Position</w:t>
            </w:r>
          </w:p>
        </w:tc>
        <w:tc>
          <w:tcPr>
            <w:vAlign w:val="center"/>
          </w:tcPr>
          <w:p>
            <w:r>
              <w:rPr>
                <w:b/>
              </w:rPr>
              <w:t xml:space="preserve">Anticipated Start</w:t>
            </w:r>
          </w:p>
        </w:tc>
        <w:tc>
          <w:tcPr>
            <w:vAlign w:val="center"/>
          </w:tcPr>
          <w:p>
            <w:r>
              <w:rPr>
                <w:b/>
              </w:rPr>
              <w:t xml:space="preserve">Anticipated Completion</w:t>
            </w:r>
          </w:p>
        </w:tc>
      </w:tr>
      <w:tr>
        <w:tc>
          <w:tcPr>
            <w:vAlign w:val="center"/>
          </w:tcPr>
          <w:p>
            <w:r>
              <w:t xml:space="preserve">Dr. Hogan: Assistant Principal
Loren Stauffer: RtI
</w:t>
            </w:r>
          </w:p>
        </w:tc>
        <w:tc>
          <w:tcPr>
            <w:vAlign w:val="center"/>
          </w:tcPr>
          <w:p>
            <w:r>
              <w:t xml:space="preserve">2026-08-12</w:t>
            </w:r>
          </w:p>
        </w:tc>
        <w:tc>
          <w:tcPr>
            <w:vAlign w:val="center"/>
          </w:tcPr>
          <w:p>
            <w:r>
              <w:t xml:space="preserve">2027-06-05</w:t>
            </w:r>
          </w:p>
        </w:tc>
      </w:tr>
    </w:tbl>
    <w:p>
      <w:pPr>
        <w:pStyle w:val="Heading2"/>
      </w:pPr>
      <w:r>
        <w:t xml:space="preserve">Learning Format</w:t>
      </w:r>
    </w:p>
    <w:tbl>
      <w:tblPr>
        <w:tblStyle w:val="TableGrid"/>
        <w:tblW w:w="5000" w:type="pct"/>
      </w:tblPr>
      <w:tblGrid>
        <w:gridCol/>
        <w:gridCol/>
      </w:tblGrid>
      <w:tr>
        <w:tc>
          <w:tcPr>
            <w:vAlign w:val="center"/>
          </w:tcPr>
          <w:p>
            <w:r>
              <w:rPr>
                <w:b/>
              </w:rPr>
              <w:t xml:space="preserve">Type of Activities</w:t>
            </w:r>
          </w:p>
        </w:tc>
        <w:tc>
          <w:tcPr>
            <w:vAlign w:val="center"/>
          </w:tcPr>
          <w:p>
            <w:r>
              <w:rPr>
                <w:b/>
              </w:rPr>
              <w:t xml:space="preserve">Frequency</w:t>
            </w:r>
          </w:p>
        </w:tc>
      </w:tr>
      <w:tr>
        <w:tc>
          <w:tcPr>
            <w:vAlign w:val="center"/>
          </w:tcPr>
          <w:p>
            <w:r>
              <w:t xml:space="preserve">Workshop(s)                                                        </w:t>
            </w:r>
          </w:p>
        </w:tc>
        <w:tc>
          <w:tcPr>
            <w:vAlign w:val="center"/>
          </w:tcPr>
          <w:p>
            <w:r>
              <w:t xml:space="preserve">Four times a year</w:t>
            </w:r>
          </w:p>
        </w:tc>
      </w:tr>
      <w:tr>
        <w:tc>
          <w:tcPr>
            <w:gridSpan w:val="2"/>
            <w:vAlign w:val="center"/>
          </w:tcPr>
          <w:p>
            <w:r>
              <w:rPr>
                <w:b/>
              </w:rPr>
              <w:t xml:space="preserve">Observation and Practice Framework Met in this Plan</w:t>
            </w:r>
          </w:p>
        </w:tc>
      </w:tr>
      <w:tr>
        <w:tc>
          <w:tcPr>
            <w:gridSpan w:val="2"/>
            <w:vAlign w:val="center"/>
          </w:tcPr>
          <w:p>
            <w:pPr>
              <w:pStyle w:val="ListParagraph"/>
              <w:numPr>
                <w:ilvl w:val="0"/>
                <w:numId w:val="15"/>
              </w:numPr>
            </w:pPr>
            <w:r>
              <w:t xml:space="preserve">1a: Demonstrating Knowledge of Content and Pedagogy</w:t>
            </w:r>
          </w:p>
          <w:p>
            <w:pPr>
              <w:pStyle w:val="ListParagraph"/>
              <w:numPr>
                <w:ilvl w:val="0"/>
                <w:numId w:val="15"/>
              </w:numPr>
            </w:pPr>
            <w:r>
              <w:t xml:space="preserve">1c: Setting Instructional Outcomes</w:t>
            </w:r>
          </w:p>
          <w:p>
            <w:pPr>
              <w:pStyle w:val="ListParagraph"/>
              <w:numPr>
                <w:ilvl w:val="0"/>
                <w:numId w:val="15"/>
              </w:numPr>
            </w:pPr>
            <w:r>
              <w:t xml:space="preserve">1d: Demonstrating Knowledge of Resources</w:t>
            </w:r>
          </w:p>
          <w:p>
            <w:pPr>
              <w:pStyle w:val="ListParagraph"/>
              <w:numPr>
                <w:ilvl w:val="0"/>
                <w:numId w:val="15"/>
              </w:numPr>
            </w:pPr>
            <w:r>
              <w:t xml:space="preserve">1e: Designing Coherent Instruction</w:t>
            </w:r>
          </w:p>
          <w:p>
            <w:pPr>
              <w:pStyle w:val="ListParagraph"/>
              <w:numPr>
                <w:ilvl w:val="0"/>
                <w:numId w:val="15"/>
              </w:numPr>
            </w:pPr>
            <w:r>
              <w:t xml:space="preserve">3b: Using Questioning and Discussion Techniques</w:t>
            </w:r>
          </w:p>
          <w:p>
            <w:pPr>
              <w:pStyle w:val="ListParagraph"/>
              <w:numPr>
                <w:ilvl w:val="0"/>
                <w:numId w:val="15"/>
              </w:numPr>
            </w:pPr>
            <w:r>
              <w:t xml:space="preserve">3c: Engaging Students in Learning</w:t>
            </w:r>
          </w:p>
        </w:tc>
      </w:tr>
      <w:tr>
        <w:tc>
          <w:tcPr>
            <w:gridSpan w:val="2"/>
            <w:vAlign w:val="center"/>
          </w:tcPr>
          <w:p>
            <w:r>
              <w:rPr>
                <w:b/>
              </w:rPr>
              <w:t xml:space="preserve">This Step Meets the Requirements of State Required Trainings</w:t>
            </w:r>
          </w:p>
        </w:tc>
      </w:tr>
      <w:tr>
        <w:tc>
          <w:tcPr>
            <w:gridSpan w:val="2"/>
            <w:vAlign w:val="center"/>
          </w:tcPr>
          <w:p>
            <w:r>
              <w:t xml:space="preserve">Language and Literacy Acquisition for All Students                                                        </w:t>
            </w:r>
          </w:p>
        </w:tc>
      </w:tr>
    </w:tbl>
    <w:p>
      <w:pPr>
        <w:pStyle w:val="Heading2"/>
      </w:pPr>
      <w:r>
        <w:t xml:space="preserve">Explicit Reading Instruction</w:t>
      </w:r>
    </w:p>
    <w:tbl>
      <w:tblPr>
        <w:tblStyle w:val="TableGrid"/>
        <w:tblW w:w="5000" w:type="pct"/>
      </w:tblPr>
      <w:tblGrid>
        <w:gridCol/>
        <w:gridCol/>
        <w:gridCol/>
      </w:tblGrid>
      <w:tr>
        <w:tc>
          <w:tcPr>
            <w:gridSpan w:val="3"/>
            <w:vAlign w:val="center"/>
          </w:tcPr>
          <w:p>
            <w:r>
              <w:rPr>
                <w:b/>
              </w:rPr>
              <w:t xml:space="preserve">Action Step</w:t>
            </w:r>
          </w:p>
        </w:tc>
      </w:tr>
      <w:tr>
        <w:tc>
          <w:tcPr>
            <w:gridSpan w:val="3"/>
            <w:vAlign w:val="center"/>
          </w:tcPr>
          <w:p>
            <w:pPr>
              <w:pStyle w:val="ListParagraph"/>
              <w:numPr>
                <w:ilvl w:val="0"/>
                <w:numId w:val="16"/>
              </w:numPr>
            </w:pPr>
            <w:r>
              <w:t xml:space="preserve">Use a structured "I do, we do, you do" approach, focusing on systematic, phonics-based lessons that start with modeling, move to scaffolded practice, and end with independent application. </w:t>
            </w:r>
          </w:p>
        </w:tc>
      </w:tr>
      <w:tr>
        <w:tc>
          <w:tcPr>
            <w:gridSpan w:val="3"/>
            <w:vAlign w:val="center"/>
          </w:tcPr>
          <w:p>
            <w:r>
              <w:rPr>
                <w:b/>
              </w:rPr>
              <w:t xml:space="preserve">Audience</w:t>
            </w:r>
          </w:p>
        </w:tc>
      </w:tr>
      <w:tr>
        <w:tc>
          <w:tcPr>
            <w:gridSpan w:val="3"/>
            <w:vAlign w:val="center"/>
          </w:tcPr>
          <w:p>
            <w:r>
              <w:t xml:space="preserve">Teachers and Staff</w:t>
            </w:r>
          </w:p>
        </w:tc>
      </w:tr>
      <w:tr>
        <w:tc>
          <w:tcPr>
            <w:gridSpan w:val="3"/>
            <w:vAlign w:val="center"/>
          </w:tcPr>
          <w:p>
            <w:r>
              <w:rPr>
                <w:b/>
              </w:rPr>
              <w:t xml:space="preserve">Topics to be Included</w:t>
            </w:r>
          </w:p>
        </w:tc>
      </w:tr>
      <w:tr>
        <w:tc>
          <w:tcPr>
            <w:gridSpan w:val="3"/>
            <w:vAlign w:val="center"/>
          </w:tcPr>
          <w:p>
            <w:r>
              <w:t xml:space="preserve">Letter Sounds, Phonics, Phoneme Segmentation, Encoding and Decoding Patterns, Sight Words, Using Systematic and Explicit Instruction Programs such as Heggerty, ECRI, etc.
</w:t>
            </w:r>
          </w:p>
        </w:tc>
      </w:tr>
      <w:tr>
        <w:tc>
          <w:tcPr>
            <w:gridSpan w:val="3"/>
            <w:vAlign w:val="center"/>
          </w:tcPr>
          <w:p>
            <w:r>
              <w:rPr>
                <w:b/>
              </w:rPr>
              <w:t xml:space="preserve">Evidence of Learning</w:t>
            </w:r>
          </w:p>
        </w:tc>
      </w:tr>
      <w:tr>
        <w:tc>
          <w:tcPr>
            <w:gridSpan w:val="3"/>
            <w:vAlign w:val="center"/>
          </w:tcPr>
          <w:p>
            <w:r>
              <w:t xml:space="preserve">The Pathways of Progress will indicate an increase in reading fluency and overall composite scores. </w:t>
            </w:r>
          </w:p>
        </w:tc>
      </w:tr>
      <w:tr>
        <w:tc>
          <w:tcPr>
            <w:vAlign w:val="center"/>
          </w:tcPr>
          <w:p>
            <w:r>
              <w:rPr>
                <w:b/>
              </w:rPr>
              <w:t xml:space="preserve">Lead Person/Position</w:t>
            </w:r>
          </w:p>
        </w:tc>
        <w:tc>
          <w:tcPr>
            <w:vAlign w:val="center"/>
          </w:tcPr>
          <w:p>
            <w:r>
              <w:rPr>
                <w:b/>
              </w:rPr>
              <w:t xml:space="preserve">Anticipated Start</w:t>
            </w:r>
          </w:p>
        </w:tc>
        <w:tc>
          <w:tcPr>
            <w:vAlign w:val="center"/>
          </w:tcPr>
          <w:p>
            <w:r>
              <w:rPr>
                <w:b/>
              </w:rPr>
              <w:t xml:space="preserve">Anticipated Completion</w:t>
            </w:r>
          </w:p>
        </w:tc>
      </w:tr>
      <w:tr>
        <w:tc>
          <w:tcPr>
            <w:vAlign w:val="center"/>
          </w:tcPr>
          <w:p>
            <w:r>
              <w:t xml:space="preserve">Loren Stauffer: RtI Teacher
Dr. Tammy Hogan: Assistant Principal
</w:t>
            </w:r>
          </w:p>
        </w:tc>
        <w:tc>
          <w:tcPr>
            <w:vAlign w:val="center"/>
          </w:tcPr>
          <w:p>
            <w:r>
              <w:t xml:space="preserve">2026-08-15</w:t>
            </w:r>
          </w:p>
        </w:tc>
        <w:tc>
          <w:tcPr>
            <w:vAlign w:val="center"/>
          </w:tcPr>
          <w:p>
            <w:r>
              <w:t xml:space="preserve">2029-06-05</w:t>
            </w:r>
          </w:p>
        </w:tc>
      </w:tr>
    </w:tbl>
    <w:p>
      <w:pPr>
        <w:pStyle w:val="Heading2"/>
      </w:pPr>
      <w:r>
        <w:t xml:space="preserve">Learning Format</w:t>
      </w:r>
    </w:p>
    <w:tbl>
      <w:tblPr>
        <w:tblStyle w:val="TableGrid"/>
        <w:tblW w:w="5000" w:type="pct"/>
      </w:tblPr>
      <w:tblGrid>
        <w:gridCol/>
        <w:gridCol/>
      </w:tblGrid>
      <w:tr>
        <w:tc>
          <w:tcPr>
            <w:vAlign w:val="center"/>
          </w:tcPr>
          <w:p>
            <w:r>
              <w:rPr>
                <w:b/>
              </w:rPr>
              <w:t xml:space="preserve">Type of Activities</w:t>
            </w:r>
          </w:p>
        </w:tc>
        <w:tc>
          <w:tcPr>
            <w:vAlign w:val="center"/>
          </w:tcPr>
          <w:p>
            <w:r>
              <w:rPr>
                <w:b/>
              </w:rPr>
              <w:t xml:space="preserve">Frequency</w:t>
            </w:r>
          </w:p>
        </w:tc>
      </w:tr>
      <w:tr>
        <w:tc>
          <w:tcPr>
            <w:vAlign w:val="center"/>
          </w:tcPr>
          <w:p>
            <w:r>
              <w:t xml:space="preserve">Workshop(s)                                                        </w:t>
            </w:r>
          </w:p>
        </w:tc>
        <w:tc>
          <w:tcPr>
            <w:vAlign w:val="center"/>
          </w:tcPr>
          <w:p>
            <w:r>
              <w:t xml:space="preserve">An initial training and a follow-up training within the next year.</w:t>
            </w:r>
          </w:p>
        </w:tc>
      </w:tr>
      <w:tr>
        <w:tc>
          <w:tcPr>
            <w:gridSpan w:val="2"/>
            <w:vAlign w:val="center"/>
          </w:tcPr>
          <w:p>
            <w:r>
              <w:rPr>
                <w:b/>
              </w:rPr>
              <w:t xml:space="preserve">Observation and Practice Framework Met in this Plan</w:t>
            </w:r>
          </w:p>
        </w:tc>
      </w:tr>
      <w:tr>
        <w:tc>
          <w:tcPr>
            <w:gridSpan w:val="2"/>
            <w:vAlign w:val="center"/>
          </w:tcPr>
          <w:p>
            <w:pPr>
              <w:pStyle w:val="ListParagraph"/>
              <w:numPr>
                <w:ilvl w:val="0"/>
                <w:numId w:val="17"/>
              </w:numPr>
            </w:pPr>
            <w:r>
              <w:t xml:space="preserve">1a: Demonstrating Knowledge of Content and Pedagogy</w:t>
            </w:r>
          </w:p>
          <w:p>
            <w:pPr>
              <w:pStyle w:val="ListParagraph"/>
              <w:numPr>
                <w:ilvl w:val="0"/>
                <w:numId w:val="17"/>
              </w:numPr>
            </w:pPr>
            <w:r>
              <w:t xml:space="preserve">1c: Setting Instructional Outcomes</w:t>
            </w:r>
          </w:p>
          <w:p>
            <w:pPr>
              <w:pStyle w:val="ListParagraph"/>
              <w:numPr>
                <w:ilvl w:val="0"/>
                <w:numId w:val="17"/>
              </w:numPr>
            </w:pPr>
            <w:r>
              <w:t xml:space="preserve">1d: Demonstrating Knowledge of Resources</w:t>
            </w:r>
          </w:p>
          <w:p>
            <w:pPr>
              <w:pStyle w:val="ListParagraph"/>
              <w:numPr>
                <w:ilvl w:val="0"/>
                <w:numId w:val="17"/>
              </w:numPr>
            </w:pPr>
            <w:r>
              <w:t xml:space="preserve">1e: Designing Coherent Instruction</w:t>
            </w:r>
          </w:p>
          <w:p>
            <w:pPr>
              <w:pStyle w:val="ListParagraph"/>
              <w:numPr>
                <w:ilvl w:val="0"/>
                <w:numId w:val="17"/>
              </w:numPr>
            </w:pPr>
            <w:r>
              <w:t xml:space="preserve">2e: Organizing Physical Space</w:t>
            </w:r>
          </w:p>
          <w:p>
            <w:pPr>
              <w:pStyle w:val="ListParagraph"/>
              <w:numPr>
                <w:ilvl w:val="0"/>
                <w:numId w:val="17"/>
              </w:numPr>
            </w:pPr>
            <w:r>
              <w:t xml:space="preserve">3a: Communicating with Students</w:t>
            </w:r>
          </w:p>
          <w:p>
            <w:pPr>
              <w:pStyle w:val="ListParagraph"/>
              <w:numPr>
                <w:ilvl w:val="0"/>
                <w:numId w:val="17"/>
              </w:numPr>
            </w:pPr>
            <w:r>
              <w:t xml:space="preserve">3c: Engaging Students in Learning</w:t>
            </w:r>
          </w:p>
          <w:p>
            <w:pPr>
              <w:pStyle w:val="ListParagraph"/>
              <w:numPr>
                <w:ilvl w:val="0"/>
                <w:numId w:val="17"/>
              </w:numPr>
            </w:pPr>
            <w:r>
              <w:t xml:space="preserve">3d: Using Assessment in Instruction</w:t>
            </w:r>
          </w:p>
          <w:p>
            <w:pPr>
              <w:pStyle w:val="ListParagraph"/>
              <w:numPr>
                <w:ilvl w:val="0"/>
                <w:numId w:val="17"/>
              </w:numPr>
            </w:pPr>
            <w:r>
              <w:t xml:space="preserve">4b: Maintaining Accurate Records</w:t>
            </w:r>
          </w:p>
        </w:tc>
      </w:tr>
      <w:tr>
        <w:tc>
          <w:tcPr>
            <w:gridSpan w:val="2"/>
            <w:vAlign w:val="center"/>
          </w:tcPr>
          <w:p>
            <w:r>
              <w:rPr>
                <w:b/>
              </w:rPr>
              <w:t xml:space="preserve">This Step Meets the Requirements of State Required Trainings</w:t>
            </w:r>
          </w:p>
        </w:tc>
      </w:tr>
      <w:tr>
        <w:tc>
          <w:tcPr>
            <w:gridSpan w:val="2"/>
            <w:vAlign w:val="center"/>
          </w:tcPr>
          <w:p>
            <w:r>
              <w:t xml:space="preserve">Language and Literacy Acquisition for All Students                                                        </w:t>
            </w:r>
          </w:p>
        </w:tc>
      </w:tr>
    </w:tbl>
    <w:p>
      <w:pPr>
        <w:pStyle w:val="Heading2"/>
      </w:pPr>
      <w:r>
        <w:t xml:space="preserve">Learning Format</w:t>
      </w:r>
    </w:p>
    <w:tbl>
      <w:tblPr>
        <w:tblStyle w:val="TableGrid"/>
        <w:tblW w:w="5000" w:type="pct"/>
      </w:tblPr>
      <w:tblGrid>
        <w:gridCol/>
        <w:gridCol/>
      </w:tblGrid>
      <w:tr>
        <w:tc>
          <w:tcPr>
            <w:vAlign w:val="center"/>
          </w:tcPr>
          <w:p>
            <w:r>
              <w:rPr>
                <w:b/>
              </w:rPr>
              <w:t xml:space="preserve">Type of Activities</w:t>
            </w:r>
          </w:p>
        </w:tc>
        <w:tc>
          <w:tcPr>
            <w:vAlign w:val="center"/>
          </w:tcPr>
          <w:p>
            <w:r>
              <w:rPr>
                <w:b/>
              </w:rPr>
              <w:t xml:space="preserve">Frequency</w:t>
            </w:r>
          </w:p>
        </w:tc>
      </w:tr>
      <w:tr>
        <w:tc>
          <w:tcPr>
            <w:vAlign w:val="center"/>
          </w:tcPr>
          <w:p>
            <w:r>
              <w:t xml:space="preserve">Coaching (peer-to-peer; school leader-to-teacher; other coaching models)                                                        </w:t>
            </w:r>
          </w:p>
        </w:tc>
        <w:tc>
          <w:tcPr>
            <w:vAlign w:val="center"/>
          </w:tcPr>
          <w:p>
            <w:r>
              <w:t xml:space="preserve">Quarterly </w:t>
            </w:r>
          </w:p>
        </w:tc>
      </w:tr>
      <w:tr>
        <w:tc>
          <w:tcPr>
            <w:gridSpan w:val="2"/>
            <w:vAlign w:val="center"/>
          </w:tcPr>
          <w:p>
            <w:r>
              <w:rPr>
                <w:b/>
              </w:rPr>
              <w:t xml:space="preserve">Observation and Practice Framework Met in this Plan</w:t>
            </w:r>
          </w:p>
        </w:tc>
      </w:tr>
      <w:tr>
        <w:tc>
          <w:tcPr>
            <w:gridSpan w:val="2"/>
            <w:vAlign w:val="center"/>
          </w:tcPr>
          <w:p/>
        </w:tc>
      </w:tr>
      <w:tr>
        <w:tc>
          <w:tcPr>
            <w:gridSpan w:val="2"/>
            <w:vAlign w:val="center"/>
          </w:tcPr>
          <w:p>
            <w:r>
              <w:rPr>
                <w:b/>
              </w:rPr>
              <w:t xml:space="preserve">This Step Meets the Requirements of State Required Trainings</w:t>
            </w:r>
          </w:p>
        </w:tc>
      </w:tr>
      <w:tr>
        <w:tc>
          <w:tcPr>
            <w:gridSpan w:val="2"/>
            <w:vAlign w:val="center"/>
          </w:tcPr>
          <w:p>
            <w:r>
              <w:t xml:space="preserve">Language and Literacy Acquisition for All Students                                                        </w:t>
            </w:r>
          </w:p>
        </w:tc>
      </w:tr>
    </w:tbl>
    <w:p>
      <w:pPr>
        <w:pStyle w:val="Heading2"/>
      </w:pPr>
      <w:r>
        <w:t xml:space="preserve">Explicit Instruction in Numbers, Operations, and Algebraic Concepts</w:t>
      </w:r>
    </w:p>
    <w:tbl>
      <w:tblPr>
        <w:tblStyle w:val="TableGrid"/>
        <w:tblW w:w="5000" w:type="pct"/>
      </w:tblPr>
      <w:tblGrid>
        <w:gridCol/>
        <w:gridCol/>
        <w:gridCol/>
      </w:tblGrid>
      <w:tr>
        <w:tc>
          <w:tcPr>
            <w:gridSpan w:val="3"/>
            <w:vAlign w:val="center"/>
          </w:tcPr>
          <w:p>
            <w:r>
              <w:rPr>
                <w:b/>
              </w:rPr>
              <w:t xml:space="preserve">Action Step</w:t>
            </w:r>
          </w:p>
        </w:tc>
      </w:tr>
      <w:tr>
        <w:tc>
          <w:tcPr>
            <w:gridSpan w:val="3"/>
            <w:vAlign w:val="center"/>
          </w:tcPr>
          <w:p>
            <w:pPr>
              <w:pStyle w:val="ListParagraph"/>
              <w:numPr>
                <w:ilvl w:val="0"/>
                <w:numId w:val="18"/>
              </w:numPr>
            </w:pPr>
            <w:r>
              <w:t xml:space="preserve">Create and use Works that promote foundational and conceptual understanding of Numbers, Operations, and Algebraic concepts.</w:t>
            </w:r>
          </w:p>
        </w:tc>
      </w:tr>
      <w:tr>
        <w:tc>
          <w:tcPr>
            <w:gridSpan w:val="3"/>
            <w:vAlign w:val="center"/>
          </w:tcPr>
          <w:p>
            <w:r>
              <w:rPr>
                <w:b/>
              </w:rPr>
              <w:t xml:space="preserve">Audience</w:t>
            </w:r>
          </w:p>
        </w:tc>
      </w:tr>
      <w:tr>
        <w:tc>
          <w:tcPr>
            <w:gridSpan w:val="3"/>
            <w:vAlign w:val="center"/>
          </w:tcPr>
          <w:p>
            <w:r>
              <w:t xml:space="preserve">K-6 Teachers and Staff </w:t>
            </w:r>
          </w:p>
        </w:tc>
      </w:tr>
      <w:tr>
        <w:tc>
          <w:tcPr>
            <w:gridSpan w:val="3"/>
            <w:vAlign w:val="center"/>
          </w:tcPr>
          <w:p>
            <w:r>
              <w:rPr>
                <w:b/>
              </w:rPr>
              <w:t xml:space="preserve">Topics to be Included</w:t>
            </w:r>
          </w:p>
        </w:tc>
      </w:tr>
      <w:tr>
        <w:tc>
          <w:tcPr>
            <w:gridSpan w:val="3"/>
            <w:vAlign w:val="center"/>
          </w:tcPr>
          <w:p>
            <w:r>
              <w:t xml:space="preserve">Numbers, Operations, and Algebraic Concepts</w:t>
            </w:r>
          </w:p>
        </w:tc>
      </w:tr>
      <w:tr>
        <w:tc>
          <w:tcPr>
            <w:gridSpan w:val="3"/>
            <w:vAlign w:val="center"/>
          </w:tcPr>
          <w:p>
            <w:r>
              <w:rPr>
                <w:b/>
              </w:rPr>
              <w:t xml:space="preserve">Evidence of Learning</w:t>
            </w:r>
          </w:p>
        </w:tc>
      </w:tr>
      <w:tr>
        <w:tc>
          <w:tcPr>
            <w:gridSpan w:val="3"/>
            <w:vAlign w:val="center"/>
          </w:tcPr>
          <w:p>
            <w:r>
              <w:t xml:space="preserve">Diagnostic testing will indicate an increase in understanding. </w:t>
            </w:r>
          </w:p>
        </w:tc>
      </w:tr>
      <w:tr>
        <w:tc>
          <w:tcPr>
            <w:vAlign w:val="center"/>
          </w:tcPr>
          <w:p>
            <w:r>
              <w:rPr>
                <w:b/>
              </w:rPr>
              <w:t xml:space="preserve">Lead Person/Position</w:t>
            </w:r>
          </w:p>
        </w:tc>
        <w:tc>
          <w:tcPr>
            <w:vAlign w:val="center"/>
          </w:tcPr>
          <w:p>
            <w:r>
              <w:rPr>
                <w:b/>
              </w:rPr>
              <w:t xml:space="preserve">Anticipated Start</w:t>
            </w:r>
          </w:p>
        </w:tc>
        <w:tc>
          <w:tcPr>
            <w:vAlign w:val="center"/>
          </w:tcPr>
          <w:p>
            <w:r>
              <w:rPr>
                <w:b/>
              </w:rPr>
              <w:t xml:space="preserve">Anticipated Completion</w:t>
            </w:r>
          </w:p>
        </w:tc>
      </w:tr>
      <w:tr>
        <w:tc>
          <w:tcPr>
            <w:vAlign w:val="center"/>
          </w:tcPr>
          <w:p>
            <w:r>
              <w:t xml:space="preserve">Dr. Tammy Hogan: Assistant Principal
Classroom Teachers
Melanie Kansagra: RtI Teacher</w:t>
            </w:r>
          </w:p>
        </w:tc>
        <w:tc>
          <w:tcPr>
            <w:vAlign w:val="center"/>
          </w:tcPr>
          <w:p>
            <w:r>
              <w:t xml:space="preserve">2026-08-16</w:t>
            </w:r>
          </w:p>
        </w:tc>
        <w:tc>
          <w:tcPr>
            <w:vAlign w:val="center"/>
          </w:tcPr>
          <w:p>
            <w:r>
              <w:t xml:space="preserve">2029-06-05</w:t>
            </w:r>
          </w:p>
        </w:tc>
      </w:tr>
    </w:tbl>
    <w:p>
      <w:pPr>
        <w:pStyle w:val="Heading2"/>
      </w:pPr>
      <w:r>
        <w:t xml:space="preserve">Learning Format</w:t>
      </w:r>
    </w:p>
    <w:tbl>
      <w:tblPr>
        <w:tblStyle w:val="TableGrid"/>
        <w:tblW w:w="5000" w:type="pct"/>
      </w:tblPr>
      <w:tblGrid>
        <w:gridCol/>
        <w:gridCol/>
      </w:tblGrid>
      <w:tr>
        <w:tc>
          <w:tcPr>
            <w:vAlign w:val="center"/>
          </w:tcPr>
          <w:p>
            <w:r>
              <w:rPr>
                <w:b/>
              </w:rPr>
              <w:t xml:space="preserve">Type of Activities</w:t>
            </w:r>
          </w:p>
        </w:tc>
        <w:tc>
          <w:tcPr>
            <w:vAlign w:val="center"/>
          </w:tcPr>
          <w:p>
            <w:r>
              <w:rPr>
                <w:b/>
              </w:rPr>
              <w:t xml:space="preserve">Frequency</w:t>
            </w:r>
          </w:p>
        </w:tc>
      </w:tr>
      <w:tr>
        <w:tc>
          <w:tcPr>
            <w:vAlign w:val="center"/>
          </w:tcPr>
          <w:p>
            <w:r>
              <w:t xml:space="preserve">Professional Learning Community (PLC)                                                        </w:t>
            </w:r>
          </w:p>
        </w:tc>
        <w:tc>
          <w:tcPr>
            <w:vAlign w:val="center"/>
          </w:tcPr>
          <w:p>
            <w:r>
              <w:t xml:space="preserve">Quarterly</w:t>
            </w:r>
          </w:p>
        </w:tc>
      </w:tr>
      <w:tr>
        <w:tc>
          <w:tcPr>
            <w:gridSpan w:val="2"/>
            <w:vAlign w:val="center"/>
          </w:tcPr>
          <w:p>
            <w:r>
              <w:rPr>
                <w:b/>
              </w:rPr>
              <w:t xml:space="preserve">Observation and Practice Framework Met in this Plan</w:t>
            </w:r>
          </w:p>
        </w:tc>
      </w:tr>
      <w:tr>
        <w:tc>
          <w:tcPr>
            <w:gridSpan w:val="2"/>
            <w:vAlign w:val="center"/>
          </w:tcPr>
          <w:p>
            <w:pPr>
              <w:pStyle w:val="ListParagraph"/>
              <w:numPr>
                <w:ilvl w:val="0"/>
                <w:numId w:val="19"/>
              </w:numPr>
            </w:pPr>
            <w:r>
              <w:t xml:space="preserve">1a: Demonstrating Knowledge of Content and Pedagogy</w:t>
            </w:r>
          </w:p>
          <w:p>
            <w:pPr>
              <w:pStyle w:val="ListParagraph"/>
              <w:numPr>
                <w:ilvl w:val="0"/>
                <w:numId w:val="19"/>
              </w:numPr>
            </w:pPr>
            <w:r>
              <w:t xml:space="preserve">1b: Demonstrating Knowledge of Students</w:t>
            </w:r>
          </w:p>
          <w:p>
            <w:pPr>
              <w:pStyle w:val="ListParagraph"/>
              <w:numPr>
                <w:ilvl w:val="0"/>
                <w:numId w:val="19"/>
              </w:numPr>
            </w:pPr>
            <w:r>
              <w:t xml:space="preserve">1c: Setting Instructional Outcomes</w:t>
            </w:r>
          </w:p>
          <w:p>
            <w:pPr>
              <w:pStyle w:val="ListParagraph"/>
              <w:numPr>
                <w:ilvl w:val="0"/>
                <w:numId w:val="19"/>
              </w:numPr>
            </w:pPr>
            <w:r>
              <w:t xml:space="preserve">1d: Demonstrating Knowledge of Resources</w:t>
            </w:r>
          </w:p>
          <w:p>
            <w:pPr>
              <w:pStyle w:val="ListParagraph"/>
              <w:numPr>
                <w:ilvl w:val="0"/>
                <w:numId w:val="19"/>
              </w:numPr>
            </w:pPr>
            <w:r>
              <w:t xml:space="preserve">1e: Designing Coherent Instruction</w:t>
            </w:r>
          </w:p>
          <w:p>
            <w:pPr>
              <w:pStyle w:val="ListParagraph"/>
              <w:numPr>
                <w:ilvl w:val="0"/>
                <w:numId w:val="19"/>
              </w:numPr>
            </w:pPr>
            <w:r>
              <w:t xml:space="preserve">1f: Designing Student Assessments</w:t>
            </w:r>
          </w:p>
          <w:p>
            <w:pPr>
              <w:pStyle w:val="ListParagraph"/>
              <w:numPr>
                <w:ilvl w:val="0"/>
                <w:numId w:val="19"/>
              </w:numPr>
            </w:pPr>
            <w:r>
              <w:t xml:space="preserve">3a: Communicating with Students</w:t>
            </w:r>
          </w:p>
          <w:p>
            <w:pPr>
              <w:pStyle w:val="ListParagraph"/>
              <w:numPr>
                <w:ilvl w:val="0"/>
                <w:numId w:val="19"/>
              </w:numPr>
            </w:pPr>
            <w:r>
              <w:t xml:space="preserve">3b: Using Questioning and Discussion Techniques</w:t>
            </w:r>
          </w:p>
          <w:p>
            <w:pPr>
              <w:pStyle w:val="ListParagraph"/>
              <w:numPr>
                <w:ilvl w:val="0"/>
                <w:numId w:val="19"/>
              </w:numPr>
            </w:pPr>
            <w:r>
              <w:t xml:space="preserve">3c: Engaging Students in Learning</w:t>
            </w:r>
          </w:p>
          <w:p>
            <w:pPr>
              <w:pStyle w:val="ListParagraph"/>
              <w:numPr>
                <w:ilvl w:val="0"/>
                <w:numId w:val="19"/>
              </w:numPr>
            </w:pPr>
            <w:r>
              <w:t xml:space="preserve">3d: Using Assessment in Instruction</w:t>
            </w:r>
          </w:p>
          <w:p>
            <w:pPr>
              <w:pStyle w:val="ListParagraph"/>
              <w:numPr>
                <w:ilvl w:val="0"/>
                <w:numId w:val="19"/>
              </w:numPr>
            </w:pPr>
            <w:r>
              <w:t xml:space="preserve">4a: Reflecting on Teaching</w:t>
            </w:r>
          </w:p>
          <w:p>
            <w:pPr>
              <w:pStyle w:val="ListParagraph"/>
              <w:numPr>
                <w:ilvl w:val="0"/>
                <w:numId w:val="19"/>
              </w:numPr>
            </w:pPr>
            <w:r>
              <w:t xml:space="preserve">4b: Maintaining Accurate Records</w:t>
            </w:r>
          </w:p>
          <w:p>
            <w:pPr>
              <w:pStyle w:val="ListParagraph"/>
              <w:numPr>
                <w:ilvl w:val="0"/>
                <w:numId w:val="19"/>
              </w:numPr>
            </w:pPr>
            <w:r>
              <w:t xml:space="preserve">4e: Growing and Developing Professionally</w:t>
            </w:r>
          </w:p>
        </w:tc>
      </w:tr>
      <w:tr>
        <w:tc>
          <w:tcPr>
            <w:gridSpan w:val="2"/>
            <w:vAlign w:val="center"/>
          </w:tcPr>
          <w:p>
            <w:r>
              <w:rPr>
                <w:b/>
              </w:rPr>
              <w:t xml:space="preserve">This Step Meets the Requirements of State Required Trainings</w:t>
            </w:r>
          </w:p>
        </w:tc>
      </w:tr>
      <w:tr>
        <w:tc>
          <w:tcPr>
            <w:gridSpan w:val="2"/>
            <w:vAlign w:val="center"/>
          </w:tcPr>
          <w:p>
            <w:r>
              <w:t xml:space="preserve">Teaching Diverse Learners in Inclusive Settings                                                        </w:t>
            </w:r>
          </w:p>
        </w:tc>
      </w:tr>
    </w:tbl>
    <w:p>
      <w:pPr>
        <w:pStyle w:val="Heading2"/>
      </w:pPr>
      <w:r>
        <w:t xml:space="preserve">Active Feedback</w:t>
      </w:r>
    </w:p>
    <w:tbl>
      <w:tblPr>
        <w:tblStyle w:val="TableGrid"/>
        <w:tblW w:w="5000" w:type="pct"/>
      </w:tblPr>
      <w:tblGrid>
        <w:gridCol/>
        <w:gridCol/>
        <w:gridCol/>
      </w:tblGrid>
      <w:tr>
        <w:tc>
          <w:tcPr>
            <w:gridSpan w:val="3"/>
            <w:vAlign w:val="center"/>
          </w:tcPr>
          <w:p>
            <w:r>
              <w:rPr>
                <w:b/>
              </w:rPr>
              <w:t xml:space="preserve">Action Step</w:t>
            </w:r>
          </w:p>
        </w:tc>
      </w:tr>
      <w:tr>
        <w:tc>
          <w:tcPr>
            <w:gridSpan w:val="3"/>
            <w:vAlign w:val="center"/>
          </w:tcPr>
          <w:p>
            <w:pPr>
              <w:pStyle w:val="ListParagraph"/>
              <w:numPr>
                <w:ilvl w:val="0"/>
                <w:numId w:val="20"/>
              </w:numPr>
            </w:pPr>
            <w:r>
              <w:t xml:space="preserve">Provide timely, specific, and constructive feedback that highlights progress.</w:t>
            </w:r>
          </w:p>
        </w:tc>
      </w:tr>
      <w:tr>
        <w:tc>
          <w:tcPr>
            <w:gridSpan w:val="3"/>
            <w:vAlign w:val="center"/>
          </w:tcPr>
          <w:p>
            <w:r>
              <w:rPr>
                <w:b/>
              </w:rPr>
              <w:t xml:space="preserve">Audience</w:t>
            </w:r>
          </w:p>
        </w:tc>
      </w:tr>
      <w:tr>
        <w:tc>
          <w:tcPr>
            <w:gridSpan w:val="3"/>
            <w:vAlign w:val="center"/>
          </w:tcPr>
          <w:p>
            <w:r>
              <w:t xml:space="preserve">Teachers and Staff</w:t>
            </w:r>
          </w:p>
        </w:tc>
      </w:tr>
      <w:tr>
        <w:tc>
          <w:tcPr>
            <w:gridSpan w:val="3"/>
            <w:vAlign w:val="center"/>
          </w:tcPr>
          <w:p>
            <w:r>
              <w:rPr>
                <w:b/>
              </w:rPr>
              <w:t xml:space="preserve">Topics to be Included</w:t>
            </w:r>
          </w:p>
        </w:tc>
      </w:tr>
      <w:tr>
        <w:tc>
          <w:tcPr>
            <w:gridSpan w:val="3"/>
            <w:vAlign w:val="center"/>
          </w:tcPr>
          <w:p>
            <w:r>
              <w:t xml:space="preserve"> Constructive Feedback to Students that is Timely and Specific, Effective Growth-Oriented that Aligns to Learning Objectives, Growth Mindset, Encouraging Accountability and Self-Monitoring</w:t>
            </w:r>
          </w:p>
        </w:tc>
      </w:tr>
      <w:tr>
        <w:tc>
          <w:tcPr>
            <w:gridSpan w:val="3"/>
            <w:vAlign w:val="center"/>
          </w:tcPr>
          <w:p>
            <w:r>
              <w:rPr>
                <w:b/>
              </w:rPr>
              <w:t xml:space="preserve">Evidence of Learning</w:t>
            </w:r>
          </w:p>
        </w:tc>
      </w:tr>
      <w:tr>
        <w:tc>
          <w:tcPr>
            <w:gridSpan w:val="3"/>
            <w:vAlign w:val="center"/>
          </w:tcPr>
          <w:p>
            <w:r>
              <w:t xml:space="preserve">We will see this through the survey results.</w:t>
            </w:r>
          </w:p>
        </w:tc>
      </w:tr>
      <w:tr>
        <w:tc>
          <w:tcPr>
            <w:vAlign w:val="center"/>
          </w:tcPr>
          <w:p>
            <w:r>
              <w:rPr>
                <w:b/>
              </w:rPr>
              <w:t xml:space="preserve">Lead Person/Position</w:t>
            </w:r>
          </w:p>
        </w:tc>
        <w:tc>
          <w:tcPr>
            <w:vAlign w:val="center"/>
          </w:tcPr>
          <w:p>
            <w:r>
              <w:rPr>
                <w:b/>
              </w:rPr>
              <w:t xml:space="preserve">Anticipated Start</w:t>
            </w:r>
          </w:p>
        </w:tc>
        <w:tc>
          <w:tcPr>
            <w:vAlign w:val="center"/>
          </w:tcPr>
          <w:p>
            <w:r>
              <w:rPr>
                <w:b/>
              </w:rPr>
              <w:t xml:space="preserve">Anticipated Completion</w:t>
            </w:r>
          </w:p>
        </w:tc>
      </w:tr>
      <w:tr>
        <w:tc>
          <w:tcPr>
            <w:vAlign w:val="center"/>
          </w:tcPr>
          <w:p>
            <w:r>
              <w:t xml:space="preserve">Dr. Tammy Hogan: Assistant Principal
Classroom Teachers</w:t>
            </w:r>
          </w:p>
        </w:tc>
        <w:tc>
          <w:tcPr>
            <w:vAlign w:val="center"/>
          </w:tcPr>
          <w:p>
            <w:r>
              <w:t xml:space="preserve">2026-10-01</w:t>
            </w:r>
          </w:p>
        </w:tc>
        <w:tc>
          <w:tcPr>
            <w:vAlign w:val="center"/>
          </w:tcPr>
          <w:p>
            <w:r>
              <w:t xml:space="preserve">2029-06-05</w:t>
            </w:r>
          </w:p>
        </w:tc>
      </w:tr>
    </w:tbl>
    <w:p>
      <w:pPr>
        <w:pStyle w:val="Heading2"/>
      </w:pPr>
      <w:r>
        <w:t xml:space="preserve">Learning Format</w:t>
      </w:r>
    </w:p>
    <w:tbl>
      <w:tblPr>
        <w:tblStyle w:val="TableGrid"/>
        <w:tblW w:w="5000" w:type="pct"/>
      </w:tblPr>
      <w:tblGrid>
        <w:gridCol/>
        <w:gridCol/>
      </w:tblGrid>
      <w:tr>
        <w:tc>
          <w:tcPr>
            <w:vAlign w:val="center"/>
          </w:tcPr>
          <w:p>
            <w:r>
              <w:rPr>
                <w:b/>
              </w:rPr>
              <w:t xml:space="preserve">Type of Activities</w:t>
            </w:r>
          </w:p>
        </w:tc>
        <w:tc>
          <w:tcPr>
            <w:vAlign w:val="center"/>
          </w:tcPr>
          <w:p>
            <w:r>
              <w:rPr>
                <w:b/>
              </w:rPr>
              <w:t xml:space="preserve">Frequency</w:t>
            </w:r>
          </w:p>
        </w:tc>
      </w:tr>
      <w:tr>
        <w:tc>
          <w:tcPr>
            <w:vAlign w:val="center"/>
          </w:tcPr>
          <w:p>
            <w:r>
              <w:t xml:space="preserve">Workshop(s)                                                        </w:t>
            </w:r>
          </w:p>
        </w:tc>
        <w:tc>
          <w:tcPr>
            <w:vAlign w:val="center"/>
          </w:tcPr>
          <w:p>
            <w:r>
              <w:t xml:space="preserve">Twice a year</w:t>
            </w:r>
          </w:p>
        </w:tc>
      </w:tr>
      <w:tr>
        <w:tc>
          <w:tcPr>
            <w:gridSpan w:val="2"/>
            <w:vAlign w:val="center"/>
          </w:tcPr>
          <w:p>
            <w:r>
              <w:rPr>
                <w:b/>
              </w:rPr>
              <w:t xml:space="preserve">Observation and Practice Framework Met in this Plan</w:t>
            </w:r>
          </w:p>
        </w:tc>
      </w:tr>
      <w:tr>
        <w:tc>
          <w:tcPr>
            <w:gridSpan w:val="2"/>
            <w:vAlign w:val="center"/>
          </w:tcPr>
          <w:p>
            <w:pPr>
              <w:pStyle w:val="ListParagraph"/>
              <w:numPr>
                <w:ilvl w:val="0"/>
                <w:numId w:val="21"/>
              </w:numPr>
            </w:pPr>
            <w:r>
              <w:t xml:space="preserve">1a: Demonstrating Knowledge of Content and Pedagogy</w:t>
            </w:r>
          </w:p>
          <w:p>
            <w:pPr>
              <w:pStyle w:val="ListParagraph"/>
              <w:numPr>
                <w:ilvl w:val="0"/>
                <w:numId w:val="21"/>
              </w:numPr>
            </w:pPr>
            <w:r>
              <w:t xml:space="preserve">1b: Demonstrating Knowledge of Students</w:t>
            </w:r>
          </w:p>
          <w:p>
            <w:pPr>
              <w:pStyle w:val="ListParagraph"/>
              <w:numPr>
                <w:ilvl w:val="0"/>
                <w:numId w:val="21"/>
              </w:numPr>
            </w:pPr>
            <w:r>
              <w:t xml:space="preserve">1c: Setting Instructional Outcomes</w:t>
            </w:r>
          </w:p>
          <w:p>
            <w:pPr>
              <w:pStyle w:val="ListParagraph"/>
              <w:numPr>
                <w:ilvl w:val="0"/>
                <w:numId w:val="21"/>
              </w:numPr>
            </w:pPr>
            <w:r>
              <w:t xml:space="preserve">2a: Creating an Environment of Respect and Rapport</w:t>
            </w:r>
          </w:p>
          <w:p>
            <w:pPr>
              <w:pStyle w:val="ListParagraph"/>
              <w:numPr>
                <w:ilvl w:val="0"/>
                <w:numId w:val="21"/>
              </w:numPr>
            </w:pPr>
            <w:r>
              <w:t xml:space="preserve">2b: Establishing a Culture for Learning</w:t>
            </w:r>
          </w:p>
          <w:p>
            <w:pPr>
              <w:pStyle w:val="ListParagraph"/>
              <w:numPr>
                <w:ilvl w:val="0"/>
                <w:numId w:val="21"/>
              </w:numPr>
            </w:pPr>
            <w:r>
              <w:t xml:space="preserve">3a: Communicating with Students</w:t>
            </w:r>
          </w:p>
          <w:p>
            <w:pPr>
              <w:pStyle w:val="ListParagraph"/>
              <w:numPr>
                <w:ilvl w:val="0"/>
                <w:numId w:val="21"/>
              </w:numPr>
            </w:pPr>
            <w:r>
              <w:t xml:space="preserve">3c: Engaging Students in Learning</w:t>
            </w:r>
          </w:p>
          <w:p>
            <w:pPr>
              <w:pStyle w:val="ListParagraph"/>
              <w:numPr>
                <w:ilvl w:val="0"/>
                <w:numId w:val="21"/>
              </w:numPr>
            </w:pPr>
            <w:r>
              <w:t xml:space="preserve">3d: Using Assessment in Instruction</w:t>
            </w:r>
          </w:p>
          <w:p>
            <w:pPr>
              <w:pStyle w:val="ListParagraph"/>
              <w:numPr>
                <w:ilvl w:val="0"/>
                <w:numId w:val="21"/>
              </w:numPr>
            </w:pPr>
            <w:r>
              <w:t xml:space="preserve">4b: Maintaining Accurate Records</w:t>
            </w:r>
          </w:p>
          <w:p>
            <w:pPr>
              <w:pStyle w:val="ListParagraph"/>
              <w:numPr>
                <w:ilvl w:val="0"/>
                <w:numId w:val="21"/>
              </w:numPr>
            </w:pPr>
            <w:r>
              <w:t xml:space="preserve">4c: Communicating with Families</w:t>
            </w:r>
          </w:p>
        </w:tc>
      </w:tr>
      <w:tr>
        <w:tc>
          <w:tcPr>
            <w:gridSpan w:val="2"/>
            <w:vAlign w:val="center"/>
          </w:tcPr>
          <w:p>
            <w:r>
              <w:rPr>
                <w:b/>
              </w:rPr>
              <w:t xml:space="preserve">This Step Meets the Requirements of State Required Trainings</w:t>
            </w:r>
          </w:p>
        </w:tc>
      </w:tr>
      <w:tr>
        <w:tc>
          <w:tcPr>
            <w:gridSpan w:val="2"/>
            <w:vAlign w:val="center"/>
          </w:tcPr>
          <w:p>
            <w:r>
              <w:t xml:space="preserve">Common Ground                                                        </w:t>
            </w:r>
          </w:p>
        </w:tc>
      </w:tr>
    </w:tbl>
    <w:p>
      <w:r>
        <w:br/>
      </w:r>
      <w:r>
        <w:br/>
      </w:r>
      <w:r>
        <w:br/>
      </w:r>
      <w:r>
        <w:br/>
      </w:r>
      <w:r>
        <w:br/>
      </w:r>
      <w:r>
        <w:br/>
      </w:r>
      <w:r>
        <w:br/>
      </w:r>
      <w:r>
        <w:br w:type="page"/>
      </w:r>
      <w:r>
        <w:lastRenderedPageBreak/>
      </w:r>
    </w:p>
    <w:p>
      <w:pPr>
        <w:pStyle w:val="Heading1"/>
      </w:pPr>
      <w:r>
        <w:t xml:space="preserve">Communications Activities</w:t>
      </w:r>
    </w:p>
    <w:tbl>
      <w:tblPr>
        <w:tblStyle w:val="TableGrid"/>
        <w:tblW w:w="0" w:type="auto"/>
      </w:tblPr>
      <w:tblGrid>
        <w:gridCol/>
        <w:gridCol/>
        <w:gridCol/>
        <w:gridCol/>
        <w:gridCol/>
        <w:gridCol/>
      </w:tblGrid>
      <w:tr>
        <w:tc>
          <w:tcPr>
            <w:gridSpan w:val="6"/>
            <w:tcMar>
              <w:top w:w="150" w:type="dxa"/>
              <w:right w:w="150" w:type="dxa"/>
              <w:bottom w:w="150" w:type="dxa"/>
              <w:left w:w="150" w:type="dxa"/>
            </w:tcMar>
            <w:vAlign w:val="center"/>
          </w:tcPr>
          <w:p>
            <w:r>
              <w:rPr>
                <w:color w:val="165998"/>
              </w:rPr>
              <w:t xml:space="preserve">Zones of Regulations</w:t>
            </w:r>
          </w:p>
        </w:tc>
      </w:tr>
      <w:tr>
        <w:tc>
          <w:tcPr>
            <w:tcMar>
              <w:top w:w="90" w:type="dxa"/>
              <w:right w:w="90" w:type="dxa"/>
              <w:bottom w:w="90" w:type="dxa"/>
              <w:left w:w="90" w:type="dxa"/>
            </w:tcMar>
            <w:vAlign w:val="center"/>
          </w:tcPr>
          <w:p>
            <w:r>
              <w:rPr>
                <w:b/>
              </w:rPr>
              <w:t xml:space="preserve">Action Step</w:t>
            </w:r>
          </w:p>
        </w:tc>
        <w:tc>
          <w:tcPr>
            <w:tcMar>
              <w:top w:w="90" w:type="dxa"/>
              <w:right w:w="90" w:type="dxa"/>
              <w:bottom w:w="90" w:type="dxa"/>
              <w:left w:w="90" w:type="dxa"/>
            </w:tcMar>
            <w:vAlign w:val="center"/>
          </w:tcPr>
          <w:p>
            <w:r>
              <w:rPr>
                <w:b/>
              </w:rPr>
              <w:t xml:space="preserve">Audience</w:t>
            </w:r>
          </w:p>
        </w:tc>
        <w:tc>
          <w:tcPr>
            <w:tcMar>
              <w:top w:w="90" w:type="dxa"/>
              <w:right w:w="90" w:type="dxa"/>
              <w:bottom w:w="90" w:type="dxa"/>
              <w:left w:w="90" w:type="dxa"/>
            </w:tcMar>
            <w:vAlign w:val="center"/>
          </w:tcPr>
          <w:p>
            <w:r>
              <w:rPr>
                <w:b/>
              </w:rPr>
              <w:t xml:space="preserve">Topics to be Included</w:t>
            </w:r>
          </w:p>
        </w:tc>
        <w:tc>
          <w:tcPr>
            <w:tcMar>
              <w:top w:w="90" w:type="dxa"/>
              <w:right w:w="90" w:type="dxa"/>
              <w:bottom w:w="90" w:type="dxa"/>
              <w:left w:w="90" w:type="dxa"/>
            </w:tcMar>
            <w:vAlign w:val="center"/>
          </w:tcPr>
          <w:p>
            <w:r>
              <w:rPr>
                <w:b/>
              </w:rPr>
              <w:t xml:space="preserve">Type of Communication</w:t>
            </w:r>
          </w:p>
        </w:tc>
        <w:tc>
          <w:tcPr>
            <w:tcMar>
              <w:top w:w="90" w:type="dxa"/>
              <w:right w:w="90" w:type="dxa"/>
              <w:bottom w:w="90" w:type="dxa"/>
              <w:left w:w="90" w:type="dxa"/>
            </w:tcMar>
            <w:vAlign w:val="center"/>
          </w:tcPr>
          <w:p>
            <w:r>
              <w:rPr>
                <w:b/>
              </w:rPr>
              <w:t xml:space="preserve">Anticipated Timeline Start Date</w:t>
            </w:r>
          </w:p>
        </w:tc>
        <w:tc>
          <w:tcPr>
            <w:tcMar>
              <w:top w:w="90" w:type="dxa"/>
              <w:right w:w="90" w:type="dxa"/>
              <w:bottom w:w="90" w:type="dxa"/>
              <w:left w:w="90" w:type="dxa"/>
            </w:tcMar>
            <w:vAlign w:val="center"/>
          </w:tcPr>
          <w:p>
            <w:r>
              <w:rPr>
                <w:b/>
              </w:rPr>
              <w:t xml:space="preserve">Anticipated Timeline Completion Date</w:t>
            </w:r>
          </w:p>
        </w:tc>
      </w:tr>
      <w:tr>
        <w:tc>
          <w:tcPr>
            <w:tcMar>
              <w:top w:w="90" w:type="dxa"/>
              <w:right w:w="90" w:type="dxa"/>
              <w:bottom w:w="90" w:type="dxa"/>
              <w:left w:w="90" w:type="dxa"/>
            </w:tcMar>
            <w:vAlign w:val="top"/>
          </w:tcPr>
          <w:p>
            <w:pPr>
              <w:pStyle w:val="ListParagraph"/>
              <w:numPr>
                <w:ilvl w:val="0"/>
                <w:numId w:val="22"/>
              </w:numPr>
            </w:pPr>
            <w:r>
              <w:rPr>
                <w:sz w:val="18"/>
              </w:rPr>
              <w:t xml:space="preserve">Implementation of Zones of Regulation for grades 3-6  and the continuation of it in lower elementary.</w:t>
            </w:r>
          </w:p>
        </w:tc>
        <w:tc>
          <w:tcPr>
            <w:tcMar>
              <w:top w:w="90" w:type="dxa"/>
              <w:right w:w="90" w:type="dxa"/>
              <w:bottom w:w="90" w:type="dxa"/>
              <w:left w:w="90" w:type="dxa"/>
            </w:tcMar>
            <w:vAlign w:val="top"/>
          </w:tcPr>
          <w:p>
            <w:r>
              <w:rPr>
                <w:sz w:val="18"/>
              </w:rPr>
              <w:t xml:space="preserve">K-6 Teachers and Staff</w:t>
            </w:r>
          </w:p>
        </w:tc>
        <w:tc>
          <w:tcPr>
            <w:tcMar>
              <w:top w:w="90" w:type="dxa"/>
              <w:right w:w="90" w:type="dxa"/>
              <w:bottom w:w="90" w:type="dxa"/>
              <w:left w:w="90" w:type="dxa"/>
            </w:tcMar>
            <w:vAlign w:val="top"/>
          </w:tcPr>
          <w:p>
            <w:r>
              <w:rPr>
                <w:sz w:val="18"/>
              </w:rPr>
              <w:t xml:space="preserve">Emotional Regulation and Self-Awareness. Recognizing which Zone they are in, Red, Yellow, Blue, or Green. Coping skills to recognize and refocus. Use a common language in the school.</w:t>
            </w:r>
          </w:p>
        </w:tc>
        <w:tc>
          <w:tcPr>
            <w:tcMar>
              <w:top w:w="90" w:type="dxa"/>
              <w:right w:w="90" w:type="dxa"/>
              <w:bottom w:w="90" w:type="dxa"/>
              <w:left w:w="90" w:type="dxa"/>
            </w:tcMar>
            <w:vAlign w:val="top"/>
          </w:tcPr>
          <w:p>
            <w:r>
              <w:rPr>
                <w:sz w:val="18"/>
              </w:rPr>
              <w:t xml:space="preserve">Shamin Jegan: RtI
Cheryl Sornson: School Counselor</w:t>
            </w:r>
          </w:p>
        </w:tc>
        <w:tc>
          <w:tcPr>
            <w:tcMar>
              <w:top w:w="90" w:type="dxa"/>
              <w:right w:w="90" w:type="dxa"/>
              <w:bottom w:w="90" w:type="dxa"/>
              <w:left w:w="90" w:type="dxa"/>
            </w:tcMar>
            <w:vAlign w:val="top"/>
          </w:tcPr>
          <w:p>
            <w:r>
              <w:rPr>
                <w:sz w:val="18"/>
              </w:rPr>
              <w:t xml:space="preserve">08/15/2026</w:t>
            </w:r>
          </w:p>
        </w:tc>
        <w:tc>
          <w:tcPr>
            <w:tcMar>
              <w:top w:w="90" w:type="dxa"/>
              <w:right w:w="90" w:type="dxa"/>
              <w:bottom w:w="90" w:type="dxa"/>
              <w:left w:w="90" w:type="dxa"/>
            </w:tcMar>
            <w:vAlign w:val="top"/>
          </w:tcPr>
          <w:p>
            <w:r>
              <w:rPr>
                <w:sz w:val="18"/>
              </w:rPr>
              <w:t xml:space="preserve">06/05/2027</w:t>
            </w:r>
          </w:p>
        </w:tc>
      </w:tr>
    </w:tbl>
    <w:p>
      <w:pPr>
        <w:pStyle w:val="Heading3"/>
      </w:pPr>
      <w:r>
        <w:t xml:space="preserve">Communications</w:t>
      </w:r>
    </w:p>
    <w:tbl>
      <w:tblPr>
        <w:tblStyle w:val="TableGrid"/>
        <w:tblW w:w="0" w:type="auto"/>
      </w:tblPr>
      <w:tblGrid>
        <w:gridCol/>
        <w:gridCol/>
        <w:gridCol/>
        <w:gridCol/>
        <w:gridCol/>
        <w:gridCol/>
      </w:tblGrid>
      <w:tr>
        <w:tc>
          <w:tcPr>
            <w:gridSpan w:val="3"/>
            <w:tcMar>
              <w:top w:w="90" w:type="dxa"/>
              <w:right w:w="90" w:type="dxa"/>
              <w:bottom w:w="90" w:type="dxa"/>
              <w:left w:w="90" w:type="dxa"/>
            </w:tcMar>
            <w:vAlign w:val="center"/>
          </w:tcPr>
          <w:p>
            <w:r>
              <w:rPr>
                <w:b/>
              </w:rPr>
              <w:t xml:space="preserve">Type of Communication</w:t>
            </w:r>
          </w:p>
        </w:tc>
        <w:tc>
          <w:tcPr>
            <w:gridSpan w:val="3"/>
            <w:tcMar>
              <w:top w:w="90" w:type="dxa"/>
              <w:right w:w="90" w:type="dxa"/>
              <w:bottom w:w="90" w:type="dxa"/>
              <w:left w:w="90" w:type="dxa"/>
            </w:tcMar>
            <w:vAlign w:val="center"/>
          </w:tcPr>
          <w:p>
            <w:r>
              <w:rPr>
                <w:b/>
              </w:rPr>
              <w:t xml:space="preserve">Frequency</w:t>
            </w:r>
          </w:p>
        </w:tc>
      </w:tr>
      <w:tr>
        <w:tc>
          <w:tcPr>
            <w:gridSpan w:val="3"/>
            <w:tcMar>
              <w:top w:w="90" w:type="dxa"/>
              <w:right w:w="90" w:type="dxa"/>
              <w:bottom w:w="90" w:type="dxa"/>
              <w:left w:w="90" w:type="dxa"/>
            </w:tcMar>
            <w:vAlign w:val="top"/>
          </w:tcPr>
          <w:p>
            <w:r>
              <w:rPr>
                <w:sz w:val="18"/>
              </w:rPr>
              <w:t xml:space="preserve">Presentation</w:t>
            </w:r>
          </w:p>
        </w:tc>
        <w:tc>
          <w:tcPr>
            <w:gridSpan w:val="3"/>
            <w:tcMar>
              <w:top w:w="90" w:type="dxa"/>
              <w:right w:w="90" w:type="dxa"/>
              <w:bottom w:w="90" w:type="dxa"/>
              <w:left w:w="90" w:type="dxa"/>
            </w:tcMar>
            <w:vAlign w:val="top"/>
          </w:tcPr>
          <w:p>
            <w:r>
              <w:rPr>
                <w:sz w:val="18"/>
              </w:rPr>
              <w:t xml:space="preserve">Once, and then a yearly review.</w:t>
            </w:r>
          </w:p>
        </w:tc>
      </w:tr>
    </w:tbl>
    <w:p>
      <w:r>
        <w:br/>
      </w:r>
      <w:r>
        <w:br w:type="page"/>
      </w:r>
      <w:r>
        <w:lastRenderedPageBreak/>
      </w:r>
    </w:p>
    <w:tbl>
      <w:tblPr>
        <w:tblStyle w:val="TableGrid"/>
        <w:tblW w:w="0" w:type="auto"/>
      </w:tblPr>
      <w:tblGrid>
        <w:gridCol/>
        <w:gridCol/>
        <w:gridCol/>
        <w:gridCol/>
        <w:gridCol/>
        <w:gridCol/>
      </w:tblGrid>
      <w:tr>
        <w:tc>
          <w:tcPr>
            <w:gridSpan w:val="6"/>
            <w:tcMar>
              <w:top w:w="150" w:type="dxa"/>
              <w:right w:w="150" w:type="dxa"/>
              <w:bottom w:w="150" w:type="dxa"/>
              <w:left w:w="150" w:type="dxa"/>
            </w:tcMar>
            <w:vAlign w:val="center"/>
          </w:tcPr>
          <w:p>
            <w:r>
              <w:rPr>
                <w:color w:val="165998"/>
              </w:rPr>
              <w:t xml:space="preserve">The Caring School Community</w:t>
            </w:r>
          </w:p>
        </w:tc>
      </w:tr>
      <w:tr>
        <w:tc>
          <w:tcPr>
            <w:tcMar>
              <w:top w:w="90" w:type="dxa"/>
              <w:right w:w="90" w:type="dxa"/>
              <w:bottom w:w="90" w:type="dxa"/>
              <w:left w:w="90" w:type="dxa"/>
            </w:tcMar>
            <w:vAlign w:val="center"/>
          </w:tcPr>
          <w:p>
            <w:r>
              <w:rPr>
                <w:b/>
              </w:rPr>
              <w:t xml:space="preserve">Action Step</w:t>
            </w:r>
          </w:p>
        </w:tc>
        <w:tc>
          <w:tcPr>
            <w:tcMar>
              <w:top w:w="90" w:type="dxa"/>
              <w:right w:w="90" w:type="dxa"/>
              <w:bottom w:w="90" w:type="dxa"/>
              <w:left w:w="90" w:type="dxa"/>
            </w:tcMar>
            <w:vAlign w:val="center"/>
          </w:tcPr>
          <w:p>
            <w:r>
              <w:rPr>
                <w:b/>
              </w:rPr>
              <w:t xml:space="preserve">Audience</w:t>
            </w:r>
          </w:p>
        </w:tc>
        <w:tc>
          <w:tcPr>
            <w:tcMar>
              <w:top w:w="90" w:type="dxa"/>
              <w:right w:w="90" w:type="dxa"/>
              <w:bottom w:w="90" w:type="dxa"/>
              <w:left w:w="90" w:type="dxa"/>
            </w:tcMar>
            <w:vAlign w:val="center"/>
          </w:tcPr>
          <w:p>
            <w:r>
              <w:rPr>
                <w:b/>
              </w:rPr>
              <w:t xml:space="preserve">Topics to be Included</w:t>
            </w:r>
          </w:p>
        </w:tc>
        <w:tc>
          <w:tcPr>
            <w:tcMar>
              <w:top w:w="90" w:type="dxa"/>
              <w:right w:w="90" w:type="dxa"/>
              <w:bottom w:w="90" w:type="dxa"/>
              <w:left w:w="90" w:type="dxa"/>
            </w:tcMar>
            <w:vAlign w:val="center"/>
          </w:tcPr>
          <w:p>
            <w:r>
              <w:rPr>
                <w:b/>
              </w:rPr>
              <w:t xml:space="preserve">Type of Communication</w:t>
            </w:r>
          </w:p>
        </w:tc>
        <w:tc>
          <w:tcPr>
            <w:tcMar>
              <w:top w:w="90" w:type="dxa"/>
              <w:right w:w="90" w:type="dxa"/>
              <w:bottom w:w="90" w:type="dxa"/>
              <w:left w:w="90" w:type="dxa"/>
            </w:tcMar>
            <w:vAlign w:val="center"/>
          </w:tcPr>
          <w:p>
            <w:r>
              <w:rPr>
                <w:b/>
              </w:rPr>
              <w:t xml:space="preserve">Anticipated Timeline Start Date</w:t>
            </w:r>
          </w:p>
        </w:tc>
        <w:tc>
          <w:tcPr>
            <w:tcMar>
              <w:top w:w="90" w:type="dxa"/>
              <w:right w:w="90" w:type="dxa"/>
              <w:bottom w:w="90" w:type="dxa"/>
              <w:left w:w="90" w:type="dxa"/>
            </w:tcMar>
            <w:vAlign w:val="center"/>
          </w:tcPr>
          <w:p>
            <w:r>
              <w:rPr>
                <w:b/>
              </w:rPr>
              <w:t xml:space="preserve">Anticipated Timeline Completion Date</w:t>
            </w:r>
          </w:p>
        </w:tc>
      </w:tr>
      <w:tr>
        <w:tc>
          <w:tcPr>
            <w:tcMar>
              <w:top w:w="90" w:type="dxa"/>
              <w:right w:w="90" w:type="dxa"/>
              <w:bottom w:w="90" w:type="dxa"/>
              <w:left w:w="90" w:type="dxa"/>
            </w:tcMar>
            <w:vAlign w:val="top"/>
          </w:tcPr>
          <w:p>
            <w:pPr>
              <w:pStyle w:val="ListParagraph"/>
              <w:numPr>
                <w:ilvl w:val="0"/>
                <w:numId w:val="23"/>
              </w:numPr>
            </w:pPr>
            <w:r>
              <w:rPr>
                <w:sz w:val="18"/>
              </w:rPr>
              <w:t xml:space="preserve">To implement school-wide cross-peer interactions, such as reading buddies, playing games, math, science experiments, visit classrooms, to build confidence. </w:t>
            </w:r>
          </w:p>
        </w:tc>
        <w:tc>
          <w:tcPr>
            <w:tcMar>
              <w:top w:w="90" w:type="dxa"/>
              <w:right w:w="90" w:type="dxa"/>
              <w:bottom w:w="90" w:type="dxa"/>
              <w:left w:w="90" w:type="dxa"/>
            </w:tcMar>
            <w:vAlign w:val="top"/>
          </w:tcPr>
          <w:p>
            <w:r>
              <w:rPr>
                <w:sz w:val="18"/>
              </w:rPr>
              <w:t xml:space="preserve">K-6 Teachers and Staff</w:t>
            </w:r>
          </w:p>
        </w:tc>
        <w:tc>
          <w:tcPr>
            <w:tcMar>
              <w:top w:w="90" w:type="dxa"/>
              <w:right w:w="90" w:type="dxa"/>
              <w:bottom w:w="90" w:type="dxa"/>
              <w:left w:w="90" w:type="dxa"/>
            </w:tcMar>
            <w:vAlign w:val="top"/>
          </w:tcPr>
          <w:p>
            <w:r>
              <w:rPr>
                <w:sz w:val="18"/>
              </w:rPr>
              <w:t xml:space="preserve">Scheduling days and times for school-wide cross-peer interactions. </w:t>
            </w:r>
          </w:p>
        </w:tc>
        <w:tc>
          <w:tcPr>
            <w:tcMar>
              <w:top w:w="90" w:type="dxa"/>
              <w:right w:w="90" w:type="dxa"/>
              <w:bottom w:w="90" w:type="dxa"/>
              <w:left w:w="90" w:type="dxa"/>
            </w:tcMar>
            <w:vAlign w:val="top"/>
          </w:tcPr>
          <w:p>
            <w:r>
              <w:rPr>
                <w:sz w:val="18"/>
              </w:rPr>
              <w:t xml:space="preserve">Grade-Band Leaders</w:t>
            </w:r>
          </w:p>
        </w:tc>
        <w:tc>
          <w:tcPr>
            <w:tcMar>
              <w:top w:w="90" w:type="dxa"/>
              <w:right w:w="90" w:type="dxa"/>
              <w:bottom w:w="90" w:type="dxa"/>
              <w:left w:w="90" w:type="dxa"/>
            </w:tcMar>
            <w:vAlign w:val="top"/>
          </w:tcPr>
          <w:p>
            <w:r>
              <w:rPr>
                <w:sz w:val="18"/>
              </w:rPr>
              <w:t xml:space="preserve">08/20/2026</w:t>
            </w:r>
          </w:p>
        </w:tc>
        <w:tc>
          <w:tcPr>
            <w:tcMar>
              <w:top w:w="90" w:type="dxa"/>
              <w:right w:w="90" w:type="dxa"/>
              <w:bottom w:w="90" w:type="dxa"/>
              <w:left w:w="90" w:type="dxa"/>
            </w:tcMar>
            <w:vAlign w:val="top"/>
          </w:tcPr>
          <w:p>
            <w:r>
              <w:rPr>
                <w:sz w:val="18"/>
              </w:rPr>
              <w:t xml:space="preserve">06/05/2029</w:t>
            </w:r>
          </w:p>
        </w:tc>
      </w:tr>
    </w:tbl>
    <w:p>
      <w:pPr>
        <w:pStyle w:val="Heading3"/>
      </w:pPr>
      <w:r>
        <w:t xml:space="preserve">Communications</w:t>
      </w:r>
    </w:p>
    <w:tbl>
      <w:tblPr>
        <w:tblStyle w:val="TableGrid"/>
        <w:tblW w:w="0" w:type="auto"/>
      </w:tblPr>
      <w:tblGrid>
        <w:gridCol/>
        <w:gridCol/>
        <w:gridCol/>
        <w:gridCol/>
        <w:gridCol/>
        <w:gridCol/>
      </w:tblGrid>
      <w:tr>
        <w:tc>
          <w:tcPr>
            <w:gridSpan w:val="3"/>
            <w:tcMar>
              <w:top w:w="90" w:type="dxa"/>
              <w:right w:w="90" w:type="dxa"/>
              <w:bottom w:w="90" w:type="dxa"/>
              <w:left w:w="90" w:type="dxa"/>
            </w:tcMar>
            <w:vAlign w:val="center"/>
          </w:tcPr>
          <w:p>
            <w:r>
              <w:rPr>
                <w:b/>
              </w:rPr>
              <w:t xml:space="preserve">Type of Communication</w:t>
            </w:r>
          </w:p>
        </w:tc>
        <w:tc>
          <w:tcPr>
            <w:gridSpan w:val="3"/>
            <w:tcMar>
              <w:top w:w="90" w:type="dxa"/>
              <w:right w:w="90" w:type="dxa"/>
              <w:bottom w:w="90" w:type="dxa"/>
              <w:left w:w="90" w:type="dxa"/>
            </w:tcMar>
            <w:vAlign w:val="center"/>
          </w:tcPr>
          <w:p>
            <w:r>
              <w:rPr>
                <w:b/>
              </w:rPr>
              <w:t xml:space="preserve">Frequency</w:t>
            </w:r>
          </w:p>
        </w:tc>
      </w:tr>
      <w:tr>
        <w:tc>
          <w:tcPr>
            <w:gridSpan w:val="3"/>
            <w:tcMar>
              <w:top w:w="90" w:type="dxa"/>
              <w:right w:w="90" w:type="dxa"/>
              <w:bottom w:w="90" w:type="dxa"/>
              <w:left w:w="90" w:type="dxa"/>
            </w:tcMar>
            <w:vAlign w:val="top"/>
          </w:tcPr>
          <w:p>
            <w:r>
              <w:rPr>
                <w:sz w:val="18"/>
              </w:rPr>
              <w:t xml:space="preserve">Email</w:t>
            </w:r>
          </w:p>
        </w:tc>
        <w:tc>
          <w:tcPr>
            <w:gridSpan w:val="3"/>
            <w:tcMar>
              <w:top w:w="90" w:type="dxa"/>
              <w:right w:w="90" w:type="dxa"/>
              <w:bottom w:w="90" w:type="dxa"/>
              <w:left w:w="90" w:type="dxa"/>
            </w:tcMar>
            <w:vAlign w:val="top"/>
          </w:tcPr>
          <w:p>
            <w:r>
              <w:rPr>
                <w:sz w:val="18"/>
              </w:rPr>
              <w:t xml:space="preserve">At least quarterly</w:t>
            </w:r>
          </w:p>
        </w:tc>
      </w:tr>
    </w:tbl>
    <w:p>
      <w:r>
        <w:br/>
      </w:r>
      <w:r>
        <w:br w:type="page"/>
      </w:r>
      <w:r>
        <w:lastRenderedPageBreak/>
      </w:r>
    </w:p>
    <w:tbl>
      <w:tblPr>
        <w:tblStyle w:val="TableGrid"/>
        <w:tblW w:w="0" w:type="auto"/>
      </w:tblPr>
      <w:tblGrid>
        <w:gridCol/>
        <w:gridCol/>
        <w:gridCol/>
        <w:gridCol/>
        <w:gridCol/>
        <w:gridCol/>
      </w:tblGrid>
      <w:tr>
        <w:tc>
          <w:tcPr>
            <w:gridSpan w:val="6"/>
            <w:tcMar>
              <w:top w:w="150" w:type="dxa"/>
              <w:right w:w="150" w:type="dxa"/>
              <w:bottom w:w="150" w:type="dxa"/>
              <w:left w:w="150" w:type="dxa"/>
            </w:tcMar>
            <w:vAlign w:val="center"/>
          </w:tcPr>
          <w:p>
            <w:r>
              <w:rPr>
                <w:color w:val="165998"/>
              </w:rPr>
              <w:t xml:space="preserve">Repeated Reading</w:t>
            </w:r>
          </w:p>
        </w:tc>
      </w:tr>
      <w:tr>
        <w:tc>
          <w:tcPr>
            <w:tcMar>
              <w:top w:w="90" w:type="dxa"/>
              <w:right w:w="90" w:type="dxa"/>
              <w:bottom w:w="90" w:type="dxa"/>
              <w:left w:w="90" w:type="dxa"/>
            </w:tcMar>
            <w:vAlign w:val="center"/>
          </w:tcPr>
          <w:p>
            <w:r>
              <w:rPr>
                <w:b/>
              </w:rPr>
              <w:t xml:space="preserve">Action Step</w:t>
            </w:r>
          </w:p>
        </w:tc>
        <w:tc>
          <w:tcPr>
            <w:tcMar>
              <w:top w:w="90" w:type="dxa"/>
              <w:right w:w="90" w:type="dxa"/>
              <w:bottom w:w="90" w:type="dxa"/>
              <w:left w:w="90" w:type="dxa"/>
            </w:tcMar>
            <w:vAlign w:val="center"/>
          </w:tcPr>
          <w:p>
            <w:r>
              <w:rPr>
                <w:b/>
              </w:rPr>
              <w:t xml:space="preserve">Audience</w:t>
            </w:r>
          </w:p>
        </w:tc>
        <w:tc>
          <w:tcPr>
            <w:tcMar>
              <w:top w:w="90" w:type="dxa"/>
              <w:right w:w="90" w:type="dxa"/>
              <w:bottom w:w="90" w:type="dxa"/>
              <w:left w:w="90" w:type="dxa"/>
            </w:tcMar>
            <w:vAlign w:val="center"/>
          </w:tcPr>
          <w:p>
            <w:r>
              <w:rPr>
                <w:b/>
              </w:rPr>
              <w:t xml:space="preserve">Topics to be Included</w:t>
            </w:r>
          </w:p>
        </w:tc>
        <w:tc>
          <w:tcPr>
            <w:tcMar>
              <w:top w:w="90" w:type="dxa"/>
              <w:right w:w="90" w:type="dxa"/>
              <w:bottom w:w="90" w:type="dxa"/>
              <w:left w:w="90" w:type="dxa"/>
            </w:tcMar>
            <w:vAlign w:val="center"/>
          </w:tcPr>
          <w:p>
            <w:r>
              <w:rPr>
                <w:b/>
              </w:rPr>
              <w:t xml:space="preserve">Type of Communication</w:t>
            </w:r>
          </w:p>
        </w:tc>
        <w:tc>
          <w:tcPr>
            <w:tcMar>
              <w:top w:w="90" w:type="dxa"/>
              <w:right w:w="90" w:type="dxa"/>
              <w:bottom w:w="90" w:type="dxa"/>
              <w:left w:w="90" w:type="dxa"/>
            </w:tcMar>
            <w:vAlign w:val="center"/>
          </w:tcPr>
          <w:p>
            <w:r>
              <w:rPr>
                <w:b/>
              </w:rPr>
              <w:t xml:space="preserve">Anticipated Timeline Start Date</w:t>
            </w:r>
          </w:p>
        </w:tc>
        <w:tc>
          <w:tcPr>
            <w:tcMar>
              <w:top w:w="90" w:type="dxa"/>
              <w:right w:w="90" w:type="dxa"/>
              <w:bottom w:w="90" w:type="dxa"/>
              <w:left w:w="90" w:type="dxa"/>
            </w:tcMar>
            <w:vAlign w:val="center"/>
          </w:tcPr>
          <w:p>
            <w:r>
              <w:rPr>
                <w:b/>
              </w:rPr>
              <w:t xml:space="preserve">Anticipated Timeline Completion Date</w:t>
            </w:r>
          </w:p>
        </w:tc>
      </w:tr>
      <w:tr>
        <w:tc>
          <w:tcPr>
            <w:tcMar>
              <w:top w:w="90" w:type="dxa"/>
              <w:right w:w="90" w:type="dxa"/>
              <w:bottom w:w="90" w:type="dxa"/>
              <w:left w:w="90" w:type="dxa"/>
            </w:tcMar>
            <w:vAlign w:val="top"/>
          </w:tcPr>
          <w:p>
            <w:pPr>
              <w:pStyle w:val="ListParagraph"/>
              <w:numPr>
                <w:ilvl w:val="0"/>
                <w:numId w:val="24"/>
              </w:numPr>
            </w:pPr>
            <w:r>
              <w:rPr>
                <w:sz w:val="18"/>
              </w:rPr>
              <w:t xml:space="preserve">Create and use Montessori Works that promote fluency to build rate, accuracy, and prosody. </w:t>
            </w:r>
          </w:p>
        </w:tc>
        <w:tc>
          <w:tcPr>
            <w:tcMar>
              <w:top w:w="90" w:type="dxa"/>
              <w:right w:w="90" w:type="dxa"/>
              <w:bottom w:w="90" w:type="dxa"/>
              <w:left w:w="90" w:type="dxa"/>
            </w:tcMar>
            <w:vAlign w:val="top"/>
          </w:tcPr>
          <w:p>
            <w:r>
              <w:rPr>
                <w:sz w:val="18"/>
              </w:rPr>
              <w:t xml:space="preserve">Teachers and Staff</w:t>
            </w:r>
          </w:p>
        </w:tc>
        <w:tc>
          <w:tcPr>
            <w:tcMar>
              <w:top w:w="90" w:type="dxa"/>
              <w:right w:w="90" w:type="dxa"/>
              <w:bottom w:w="90" w:type="dxa"/>
              <w:left w:w="90" w:type="dxa"/>
            </w:tcMar>
            <w:vAlign w:val="top"/>
          </w:tcPr>
          <w:p>
            <w:r>
              <w:rPr>
                <w:sz w:val="18"/>
              </w:rPr>
              <w:t xml:space="preserve">Fluency- related Montessori Works, and Repeated Reading Strategies and Activities</w:t>
            </w:r>
          </w:p>
        </w:tc>
        <w:tc>
          <w:tcPr>
            <w:tcMar>
              <w:top w:w="90" w:type="dxa"/>
              <w:right w:w="90" w:type="dxa"/>
              <w:bottom w:w="90" w:type="dxa"/>
              <w:left w:w="90" w:type="dxa"/>
            </w:tcMar>
            <w:vAlign w:val="top"/>
          </w:tcPr>
          <w:p>
            <w:r>
              <w:rPr>
                <w:sz w:val="18"/>
              </w:rPr>
              <w:t xml:space="preserve">Dr. Tammy Hogan: Assistant Principal
Loren Staurffer: RtI</w:t>
            </w:r>
          </w:p>
        </w:tc>
        <w:tc>
          <w:tcPr>
            <w:tcMar>
              <w:top w:w="90" w:type="dxa"/>
              <w:right w:w="90" w:type="dxa"/>
              <w:bottom w:w="90" w:type="dxa"/>
              <w:left w:w="90" w:type="dxa"/>
            </w:tcMar>
            <w:vAlign w:val="top"/>
          </w:tcPr>
          <w:p>
            <w:r>
              <w:rPr>
                <w:sz w:val="18"/>
              </w:rPr>
              <w:t xml:space="preserve">08/12/2026</w:t>
            </w:r>
          </w:p>
        </w:tc>
        <w:tc>
          <w:tcPr>
            <w:tcMar>
              <w:top w:w="90" w:type="dxa"/>
              <w:right w:w="90" w:type="dxa"/>
              <w:bottom w:w="90" w:type="dxa"/>
              <w:left w:w="90" w:type="dxa"/>
            </w:tcMar>
            <w:vAlign w:val="top"/>
          </w:tcPr>
          <w:p>
            <w:r>
              <w:rPr>
                <w:sz w:val="18"/>
              </w:rPr>
              <w:t xml:space="preserve">06/05/2027</w:t>
            </w:r>
          </w:p>
        </w:tc>
      </w:tr>
    </w:tbl>
    <w:p>
      <w:pPr>
        <w:pStyle w:val="Heading3"/>
      </w:pPr>
      <w:r>
        <w:t xml:space="preserve">Communications</w:t>
      </w:r>
    </w:p>
    <w:tbl>
      <w:tblPr>
        <w:tblStyle w:val="TableGrid"/>
        <w:tblW w:w="0" w:type="auto"/>
      </w:tblPr>
      <w:tblGrid>
        <w:gridCol/>
        <w:gridCol/>
        <w:gridCol/>
        <w:gridCol/>
        <w:gridCol/>
        <w:gridCol/>
      </w:tblGrid>
      <w:tr>
        <w:tc>
          <w:tcPr>
            <w:gridSpan w:val="3"/>
            <w:tcMar>
              <w:top w:w="90" w:type="dxa"/>
              <w:right w:w="90" w:type="dxa"/>
              <w:bottom w:w="90" w:type="dxa"/>
              <w:left w:w="90" w:type="dxa"/>
            </w:tcMar>
            <w:vAlign w:val="center"/>
          </w:tcPr>
          <w:p>
            <w:r>
              <w:rPr>
                <w:b/>
              </w:rPr>
              <w:t xml:space="preserve">Type of Communication</w:t>
            </w:r>
          </w:p>
        </w:tc>
        <w:tc>
          <w:tcPr>
            <w:gridSpan w:val="3"/>
            <w:tcMar>
              <w:top w:w="90" w:type="dxa"/>
              <w:right w:w="90" w:type="dxa"/>
              <w:bottom w:w="90" w:type="dxa"/>
              <w:left w:w="90" w:type="dxa"/>
            </w:tcMar>
            <w:vAlign w:val="center"/>
          </w:tcPr>
          <w:p>
            <w:r>
              <w:rPr>
                <w:b/>
              </w:rPr>
              <w:t xml:space="preserve">Frequency</w:t>
            </w:r>
          </w:p>
        </w:tc>
      </w:tr>
      <w:tr>
        <w:tc>
          <w:tcPr>
            <w:gridSpan w:val="3"/>
            <w:tcMar>
              <w:top w:w="90" w:type="dxa"/>
              <w:right w:w="90" w:type="dxa"/>
              <w:bottom w:w="90" w:type="dxa"/>
              <w:left w:w="90" w:type="dxa"/>
            </w:tcMar>
            <w:vAlign w:val="top"/>
          </w:tcPr>
          <w:p>
            <w:r>
              <w:rPr>
                <w:sz w:val="18"/>
              </w:rPr>
              <w:t xml:space="preserve">Other</w:t>
            </w:r>
          </w:p>
        </w:tc>
        <w:tc>
          <w:tcPr>
            <w:gridSpan w:val="3"/>
            <w:tcMar>
              <w:top w:w="90" w:type="dxa"/>
              <w:right w:w="90" w:type="dxa"/>
              <w:bottom w:w="90" w:type="dxa"/>
              <w:left w:w="90" w:type="dxa"/>
            </w:tcMar>
            <w:vAlign w:val="top"/>
          </w:tcPr>
          <w:p>
            <w:r>
              <w:rPr>
                <w:sz w:val="18"/>
              </w:rPr>
              <w:t xml:space="preserve">Four times a year</w:t>
            </w:r>
          </w:p>
        </w:tc>
      </w:tr>
    </w:tbl>
    <w:p>
      <w:r>
        <w:br/>
      </w:r>
      <w:r>
        <w:br w:type="page"/>
      </w:r>
      <w:r>
        <w:lastRenderedPageBreak/>
      </w:r>
    </w:p>
    <w:tbl>
      <w:tblPr>
        <w:tblStyle w:val="TableGrid"/>
        <w:tblW w:w="0" w:type="auto"/>
      </w:tblPr>
      <w:tblGrid>
        <w:gridCol/>
        <w:gridCol/>
        <w:gridCol/>
        <w:gridCol/>
        <w:gridCol/>
        <w:gridCol/>
      </w:tblGrid>
      <w:tr>
        <w:tc>
          <w:tcPr>
            <w:gridSpan w:val="6"/>
            <w:tcMar>
              <w:top w:w="150" w:type="dxa"/>
              <w:right w:w="150" w:type="dxa"/>
              <w:bottom w:w="150" w:type="dxa"/>
              <w:left w:w="150" w:type="dxa"/>
            </w:tcMar>
            <w:vAlign w:val="center"/>
          </w:tcPr>
          <w:p>
            <w:r>
              <w:rPr>
                <w:color w:val="165998"/>
              </w:rPr>
              <w:t xml:space="preserve">Explicit Reading Instruction</w:t>
            </w:r>
          </w:p>
        </w:tc>
      </w:tr>
      <w:tr>
        <w:tc>
          <w:tcPr>
            <w:tcMar>
              <w:top w:w="90" w:type="dxa"/>
              <w:right w:w="90" w:type="dxa"/>
              <w:bottom w:w="90" w:type="dxa"/>
              <w:left w:w="90" w:type="dxa"/>
            </w:tcMar>
            <w:vAlign w:val="center"/>
          </w:tcPr>
          <w:p>
            <w:r>
              <w:rPr>
                <w:b/>
              </w:rPr>
              <w:t xml:space="preserve">Action Step</w:t>
            </w:r>
          </w:p>
        </w:tc>
        <w:tc>
          <w:tcPr>
            <w:tcMar>
              <w:top w:w="90" w:type="dxa"/>
              <w:right w:w="90" w:type="dxa"/>
              <w:bottom w:w="90" w:type="dxa"/>
              <w:left w:w="90" w:type="dxa"/>
            </w:tcMar>
            <w:vAlign w:val="center"/>
          </w:tcPr>
          <w:p>
            <w:r>
              <w:rPr>
                <w:b/>
              </w:rPr>
              <w:t xml:space="preserve">Audience</w:t>
            </w:r>
          </w:p>
        </w:tc>
        <w:tc>
          <w:tcPr>
            <w:tcMar>
              <w:top w:w="90" w:type="dxa"/>
              <w:right w:w="90" w:type="dxa"/>
              <w:bottom w:w="90" w:type="dxa"/>
              <w:left w:w="90" w:type="dxa"/>
            </w:tcMar>
            <w:vAlign w:val="center"/>
          </w:tcPr>
          <w:p>
            <w:r>
              <w:rPr>
                <w:b/>
              </w:rPr>
              <w:t xml:space="preserve">Topics to be Included</w:t>
            </w:r>
          </w:p>
        </w:tc>
        <w:tc>
          <w:tcPr>
            <w:tcMar>
              <w:top w:w="90" w:type="dxa"/>
              <w:right w:w="90" w:type="dxa"/>
              <w:bottom w:w="90" w:type="dxa"/>
              <w:left w:w="90" w:type="dxa"/>
            </w:tcMar>
            <w:vAlign w:val="center"/>
          </w:tcPr>
          <w:p>
            <w:r>
              <w:rPr>
                <w:b/>
              </w:rPr>
              <w:t xml:space="preserve">Type of Communication</w:t>
            </w:r>
          </w:p>
        </w:tc>
        <w:tc>
          <w:tcPr>
            <w:tcMar>
              <w:top w:w="90" w:type="dxa"/>
              <w:right w:w="90" w:type="dxa"/>
              <w:bottom w:w="90" w:type="dxa"/>
              <w:left w:w="90" w:type="dxa"/>
            </w:tcMar>
            <w:vAlign w:val="center"/>
          </w:tcPr>
          <w:p>
            <w:r>
              <w:rPr>
                <w:b/>
              </w:rPr>
              <w:t xml:space="preserve">Anticipated Timeline Start Date</w:t>
            </w:r>
          </w:p>
        </w:tc>
        <w:tc>
          <w:tcPr>
            <w:tcMar>
              <w:top w:w="90" w:type="dxa"/>
              <w:right w:w="90" w:type="dxa"/>
              <w:bottom w:w="90" w:type="dxa"/>
              <w:left w:w="90" w:type="dxa"/>
            </w:tcMar>
            <w:vAlign w:val="center"/>
          </w:tcPr>
          <w:p>
            <w:r>
              <w:rPr>
                <w:b/>
              </w:rPr>
              <w:t xml:space="preserve">Anticipated Timeline Completion Date</w:t>
            </w:r>
          </w:p>
        </w:tc>
      </w:tr>
      <w:tr>
        <w:tc>
          <w:tcPr>
            <w:tcMar>
              <w:top w:w="90" w:type="dxa"/>
              <w:right w:w="90" w:type="dxa"/>
              <w:bottom w:w="90" w:type="dxa"/>
              <w:left w:w="90" w:type="dxa"/>
            </w:tcMar>
            <w:vAlign w:val="top"/>
          </w:tcPr>
          <w:p>
            <w:pPr>
              <w:pStyle w:val="ListParagraph"/>
              <w:numPr>
                <w:ilvl w:val="0"/>
                <w:numId w:val="25"/>
              </w:numPr>
            </w:pPr>
            <w:r>
              <w:rPr>
                <w:sz w:val="18"/>
              </w:rPr>
              <w:t xml:space="preserve">Use a structured "I do, we do, you do" approach, focusing on systematic, phonics-based lessons that start with modeling, move to scaffolded practice, and end with independent application. </w:t>
            </w:r>
          </w:p>
        </w:tc>
        <w:tc>
          <w:tcPr>
            <w:tcMar>
              <w:top w:w="90" w:type="dxa"/>
              <w:right w:w="90" w:type="dxa"/>
              <w:bottom w:w="90" w:type="dxa"/>
              <w:left w:w="90" w:type="dxa"/>
            </w:tcMar>
            <w:vAlign w:val="top"/>
          </w:tcPr>
          <w:p>
            <w:r>
              <w:rPr>
                <w:sz w:val="18"/>
              </w:rPr>
              <w:t xml:space="preserve">Teachers and Staff</w:t>
            </w:r>
          </w:p>
        </w:tc>
        <w:tc>
          <w:tcPr>
            <w:tcMar>
              <w:top w:w="90" w:type="dxa"/>
              <w:right w:w="90" w:type="dxa"/>
              <w:bottom w:w="90" w:type="dxa"/>
              <w:left w:w="90" w:type="dxa"/>
            </w:tcMar>
            <w:vAlign w:val="top"/>
          </w:tcPr>
          <w:p>
            <w:r>
              <w:rPr>
                <w:sz w:val="18"/>
              </w:rPr>
              <w:t xml:space="preserve">Letter Sounds, Phonics, Phoneme Segmentation, Encoding and Decoding Patterns, Sight Words, Using Systematic and Explicit Instruction Programs such as Heggerty, ECRI, etc.</w:t>
            </w:r>
          </w:p>
        </w:tc>
        <w:tc>
          <w:tcPr>
            <w:tcMar>
              <w:top w:w="90" w:type="dxa"/>
              <w:right w:w="90" w:type="dxa"/>
              <w:bottom w:w="90" w:type="dxa"/>
              <w:left w:w="90" w:type="dxa"/>
            </w:tcMar>
            <w:vAlign w:val="top"/>
          </w:tcPr>
          <w:p>
            <w:r>
              <w:rPr>
                <w:sz w:val="18"/>
              </w:rPr>
              <w:t xml:space="preserve">Loren Stauffer: RtI Teacher
Dr. Tammy Hogan: Assistant Principal</w:t>
            </w:r>
          </w:p>
        </w:tc>
        <w:tc>
          <w:tcPr>
            <w:tcMar>
              <w:top w:w="90" w:type="dxa"/>
              <w:right w:w="90" w:type="dxa"/>
              <w:bottom w:w="90" w:type="dxa"/>
              <w:left w:w="90" w:type="dxa"/>
            </w:tcMar>
            <w:vAlign w:val="top"/>
          </w:tcPr>
          <w:p>
            <w:r>
              <w:rPr>
                <w:sz w:val="18"/>
              </w:rPr>
              <w:t xml:space="preserve">08/15/2026</w:t>
            </w:r>
          </w:p>
        </w:tc>
        <w:tc>
          <w:tcPr>
            <w:tcMar>
              <w:top w:w="90" w:type="dxa"/>
              <w:right w:w="90" w:type="dxa"/>
              <w:bottom w:w="90" w:type="dxa"/>
              <w:left w:w="90" w:type="dxa"/>
            </w:tcMar>
            <w:vAlign w:val="top"/>
          </w:tcPr>
          <w:p>
            <w:r>
              <w:rPr>
                <w:sz w:val="18"/>
              </w:rPr>
              <w:t xml:space="preserve">06/05/2029</w:t>
            </w:r>
          </w:p>
        </w:tc>
      </w:tr>
    </w:tbl>
    <w:p>
      <w:pPr>
        <w:pStyle w:val="Heading3"/>
      </w:pPr>
      <w:r>
        <w:t xml:space="preserve">Communications</w:t>
      </w:r>
    </w:p>
    <w:tbl>
      <w:tblPr>
        <w:tblStyle w:val="TableGrid"/>
        <w:tblW w:w="0" w:type="auto"/>
      </w:tblPr>
      <w:tblGrid>
        <w:gridCol/>
        <w:gridCol/>
        <w:gridCol/>
        <w:gridCol/>
        <w:gridCol/>
        <w:gridCol/>
      </w:tblGrid>
      <w:tr>
        <w:tc>
          <w:tcPr>
            <w:gridSpan w:val="3"/>
            <w:tcMar>
              <w:top w:w="90" w:type="dxa"/>
              <w:right w:w="90" w:type="dxa"/>
              <w:bottom w:w="90" w:type="dxa"/>
              <w:left w:w="90" w:type="dxa"/>
            </w:tcMar>
            <w:vAlign w:val="center"/>
          </w:tcPr>
          <w:p>
            <w:r>
              <w:rPr>
                <w:b/>
              </w:rPr>
              <w:t xml:space="preserve">Type of Communication</w:t>
            </w:r>
          </w:p>
        </w:tc>
        <w:tc>
          <w:tcPr>
            <w:gridSpan w:val="3"/>
            <w:tcMar>
              <w:top w:w="90" w:type="dxa"/>
              <w:right w:w="90" w:type="dxa"/>
              <w:bottom w:w="90" w:type="dxa"/>
              <w:left w:w="90" w:type="dxa"/>
            </w:tcMar>
            <w:vAlign w:val="center"/>
          </w:tcPr>
          <w:p>
            <w:r>
              <w:rPr>
                <w:b/>
              </w:rPr>
              <w:t xml:space="preserve">Frequency</w:t>
            </w:r>
          </w:p>
        </w:tc>
      </w:tr>
      <w:tr>
        <w:tc>
          <w:tcPr>
            <w:gridSpan w:val="3"/>
            <w:tcMar>
              <w:top w:w="90" w:type="dxa"/>
              <w:right w:w="90" w:type="dxa"/>
              <w:bottom w:w="90" w:type="dxa"/>
              <w:left w:w="90" w:type="dxa"/>
            </w:tcMar>
            <w:vAlign w:val="top"/>
          </w:tcPr>
          <w:p>
            <w:r>
              <w:rPr>
                <w:sz w:val="18"/>
              </w:rPr>
              <w:t xml:space="preserve">Other</w:t>
            </w:r>
          </w:p>
        </w:tc>
        <w:tc>
          <w:tcPr>
            <w:gridSpan w:val="3"/>
            <w:tcMar>
              <w:top w:w="90" w:type="dxa"/>
              <w:right w:w="90" w:type="dxa"/>
              <w:bottom w:w="90" w:type="dxa"/>
              <w:left w:w="90" w:type="dxa"/>
            </w:tcMar>
            <w:vAlign w:val="top"/>
          </w:tcPr>
          <w:p>
            <w:r>
              <w:rPr>
                <w:sz w:val="18"/>
              </w:rPr>
              <w:t xml:space="preserve">Once a year review</w:t>
            </w:r>
          </w:p>
        </w:tc>
      </w:tr>
      <w:tr>
        <w:tc>
          <w:tcPr>
            <w:gridSpan w:val="3"/>
            <w:tcMar>
              <w:top w:w="90" w:type="dxa"/>
              <w:right w:w="90" w:type="dxa"/>
              <w:bottom w:w="90" w:type="dxa"/>
              <w:left w:w="90" w:type="dxa"/>
            </w:tcMar>
            <w:vAlign w:val="top"/>
          </w:tcPr>
          <w:p>
            <w:r>
              <w:rPr>
                <w:sz w:val="18"/>
              </w:rPr>
              <w:t xml:space="preserve">Presentation</w:t>
            </w:r>
          </w:p>
        </w:tc>
        <w:tc>
          <w:tcPr>
            <w:gridSpan w:val="3"/>
            <w:tcMar>
              <w:top w:w="90" w:type="dxa"/>
              <w:right w:w="90" w:type="dxa"/>
              <w:bottom w:w="90" w:type="dxa"/>
              <w:left w:w="90" w:type="dxa"/>
            </w:tcMar>
            <w:vAlign w:val="top"/>
          </w:tcPr>
          <w:p>
            <w:r>
              <w:rPr>
                <w:sz w:val="18"/>
              </w:rPr>
              <w:t xml:space="preserve">These presentations will be for the purchase of a new ELA program. We expect to have at least five presentations from various companies.</w:t>
            </w:r>
          </w:p>
        </w:tc>
      </w:tr>
    </w:tbl>
    <w:p>
      <w:r>
        <w:br/>
      </w:r>
      <w:r>
        <w:br w:type="page"/>
      </w:r>
      <w:r>
        <w:lastRenderedPageBreak/>
      </w:r>
    </w:p>
    <w:tbl>
      <w:tblPr>
        <w:tblStyle w:val="TableGrid"/>
        <w:tblW w:w="0" w:type="auto"/>
      </w:tblPr>
      <w:tblGrid>
        <w:gridCol/>
        <w:gridCol/>
        <w:gridCol/>
        <w:gridCol/>
        <w:gridCol/>
        <w:gridCol/>
      </w:tblGrid>
      <w:tr>
        <w:tc>
          <w:tcPr>
            <w:gridSpan w:val="6"/>
            <w:tcMar>
              <w:top w:w="150" w:type="dxa"/>
              <w:right w:w="150" w:type="dxa"/>
              <w:bottom w:w="150" w:type="dxa"/>
              <w:left w:w="150" w:type="dxa"/>
            </w:tcMar>
            <w:vAlign w:val="center"/>
          </w:tcPr>
          <w:p>
            <w:r>
              <w:rPr>
                <w:color w:val="165998"/>
              </w:rPr>
              <w:t xml:space="preserve">Explicit Math Instruction</w:t>
            </w:r>
          </w:p>
        </w:tc>
      </w:tr>
      <w:tr>
        <w:tc>
          <w:tcPr>
            <w:tcMar>
              <w:top w:w="90" w:type="dxa"/>
              <w:right w:w="90" w:type="dxa"/>
              <w:bottom w:w="90" w:type="dxa"/>
              <w:left w:w="90" w:type="dxa"/>
            </w:tcMar>
            <w:vAlign w:val="center"/>
          </w:tcPr>
          <w:p>
            <w:r>
              <w:rPr>
                <w:b/>
              </w:rPr>
              <w:t xml:space="preserve">Action Step</w:t>
            </w:r>
          </w:p>
        </w:tc>
        <w:tc>
          <w:tcPr>
            <w:tcMar>
              <w:top w:w="90" w:type="dxa"/>
              <w:right w:w="90" w:type="dxa"/>
              <w:bottom w:w="90" w:type="dxa"/>
              <w:left w:w="90" w:type="dxa"/>
            </w:tcMar>
            <w:vAlign w:val="center"/>
          </w:tcPr>
          <w:p>
            <w:r>
              <w:rPr>
                <w:b/>
              </w:rPr>
              <w:t xml:space="preserve">Audience</w:t>
            </w:r>
          </w:p>
        </w:tc>
        <w:tc>
          <w:tcPr>
            <w:tcMar>
              <w:top w:w="90" w:type="dxa"/>
              <w:right w:w="90" w:type="dxa"/>
              <w:bottom w:w="90" w:type="dxa"/>
              <w:left w:w="90" w:type="dxa"/>
            </w:tcMar>
            <w:vAlign w:val="center"/>
          </w:tcPr>
          <w:p>
            <w:r>
              <w:rPr>
                <w:b/>
              </w:rPr>
              <w:t xml:space="preserve">Topics to be Included</w:t>
            </w:r>
          </w:p>
        </w:tc>
        <w:tc>
          <w:tcPr>
            <w:tcMar>
              <w:top w:w="90" w:type="dxa"/>
              <w:right w:w="90" w:type="dxa"/>
              <w:bottom w:w="90" w:type="dxa"/>
              <w:left w:w="90" w:type="dxa"/>
            </w:tcMar>
            <w:vAlign w:val="center"/>
          </w:tcPr>
          <w:p>
            <w:r>
              <w:rPr>
                <w:b/>
              </w:rPr>
              <w:t xml:space="preserve">Type of Communication</w:t>
            </w:r>
          </w:p>
        </w:tc>
        <w:tc>
          <w:tcPr>
            <w:tcMar>
              <w:top w:w="90" w:type="dxa"/>
              <w:right w:w="90" w:type="dxa"/>
              <w:bottom w:w="90" w:type="dxa"/>
              <w:left w:w="90" w:type="dxa"/>
            </w:tcMar>
            <w:vAlign w:val="center"/>
          </w:tcPr>
          <w:p>
            <w:r>
              <w:rPr>
                <w:b/>
              </w:rPr>
              <w:t xml:space="preserve">Anticipated Timeline Start Date</w:t>
            </w:r>
          </w:p>
        </w:tc>
        <w:tc>
          <w:tcPr>
            <w:tcMar>
              <w:top w:w="90" w:type="dxa"/>
              <w:right w:w="90" w:type="dxa"/>
              <w:bottom w:w="90" w:type="dxa"/>
              <w:left w:w="90" w:type="dxa"/>
            </w:tcMar>
            <w:vAlign w:val="center"/>
          </w:tcPr>
          <w:p>
            <w:r>
              <w:rPr>
                <w:b/>
              </w:rPr>
              <w:t xml:space="preserve">Anticipated Timeline Completion Date</w:t>
            </w:r>
          </w:p>
        </w:tc>
      </w:tr>
      <w:tr>
        <w:tc>
          <w:tcPr>
            <w:tcMar>
              <w:top w:w="90" w:type="dxa"/>
              <w:right w:w="90" w:type="dxa"/>
              <w:bottom w:w="90" w:type="dxa"/>
              <w:left w:w="90" w:type="dxa"/>
            </w:tcMar>
            <w:vAlign w:val="top"/>
          </w:tcPr>
          <w:p>
            <w:pPr>
              <w:pStyle w:val="ListParagraph"/>
              <w:numPr>
                <w:ilvl w:val="0"/>
                <w:numId w:val="26"/>
              </w:numPr>
            </w:pPr>
            <w:r>
              <w:rPr>
                <w:sz w:val="18"/>
              </w:rPr>
              <w:t xml:space="preserve">Create and use Works that promote foundational and conceptual understanding of Numbers, Operations, and Algebraic concepts.</w:t>
            </w:r>
          </w:p>
        </w:tc>
        <w:tc>
          <w:tcPr>
            <w:tcMar>
              <w:top w:w="90" w:type="dxa"/>
              <w:right w:w="90" w:type="dxa"/>
              <w:bottom w:w="90" w:type="dxa"/>
              <w:left w:w="90" w:type="dxa"/>
            </w:tcMar>
            <w:vAlign w:val="top"/>
          </w:tcPr>
          <w:p>
            <w:r>
              <w:rPr>
                <w:sz w:val="18"/>
              </w:rPr>
              <w:t xml:space="preserve">Teachers and Staff</w:t>
            </w:r>
          </w:p>
        </w:tc>
        <w:tc>
          <w:tcPr>
            <w:tcMar>
              <w:top w:w="90" w:type="dxa"/>
              <w:right w:w="90" w:type="dxa"/>
              <w:bottom w:w="90" w:type="dxa"/>
              <w:left w:w="90" w:type="dxa"/>
            </w:tcMar>
            <w:vAlign w:val="top"/>
          </w:tcPr>
          <w:p>
            <w:r>
              <w:rPr>
                <w:sz w:val="18"/>
              </w:rPr>
              <w:t xml:space="preserve">Numbers, Operations, and Algebraic Concepts</w:t>
            </w:r>
          </w:p>
        </w:tc>
        <w:tc>
          <w:tcPr>
            <w:tcMar>
              <w:top w:w="90" w:type="dxa"/>
              <w:right w:w="90" w:type="dxa"/>
              <w:bottom w:w="90" w:type="dxa"/>
              <w:left w:w="90" w:type="dxa"/>
            </w:tcMar>
            <w:vAlign w:val="top"/>
          </w:tcPr>
          <w:p>
            <w:r>
              <w:rPr>
                <w:sz w:val="18"/>
              </w:rPr>
              <w:t xml:space="preserve">Dr. Tammy Hogan: Assistant Principal
Melanie Kansagra: RtI
Classroom Teachers</w:t>
            </w:r>
          </w:p>
        </w:tc>
        <w:tc>
          <w:tcPr>
            <w:tcMar>
              <w:top w:w="90" w:type="dxa"/>
              <w:right w:w="90" w:type="dxa"/>
              <w:bottom w:w="90" w:type="dxa"/>
              <w:left w:w="90" w:type="dxa"/>
            </w:tcMar>
            <w:vAlign w:val="top"/>
          </w:tcPr>
          <w:p>
            <w:r>
              <w:rPr>
                <w:sz w:val="18"/>
              </w:rPr>
              <w:t xml:space="preserve">08/16/2026</w:t>
            </w:r>
          </w:p>
        </w:tc>
        <w:tc>
          <w:tcPr>
            <w:tcMar>
              <w:top w:w="90" w:type="dxa"/>
              <w:right w:w="90" w:type="dxa"/>
              <w:bottom w:w="90" w:type="dxa"/>
              <w:left w:w="90" w:type="dxa"/>
            </w:tcMar>
            <w:vAlign w:val="top"/>
          </w:tcPr>
          <w:p>
            <w:r>
              <w:rPr>
                <w:sz w:val="18"/>
              </w:rPr>
              <w:t xml:space="preserve">06/05/2029</w:t>
            </w:r>
          </w:p>
        </w:tc>
      </w:tr>
    </w:tbl>
    <w:p>
      <w:pPr>
        <w:pStyle w:val="Heading3"/>
      </w:pPr>
      <w:r>
        <w:t xml:space="preserve">Communications</w:t>
      </w:r>
    </w:p>
    <w:tbl>
      <w:tblPr>
        <w:tblStyle w:val="TableGrid"/>
        <w:tblW w:w="0" w:type="auto"/>
      </w:tblPr>
      <w:tblGrid>
        <w:gridCol/>
        <w:gridCol/>
        <w:gridCol/>
        <w:gridCol/>
        <w:gridCol/>
        <w:gridCol/>
      </w:tblGrid>
      <w:tr>
        <w:tc>
          <w:tcPr>
            <w:gridSpan w:val="3"/>
            <w:tcMar>
              <w:top w:w="90" w:type="dxa"/>
              <w:right w:w="90" w:type="dxa"/>
              <w:bottom w:w="90" w:type="dxa"/>
              <w:left w:w="90" w:type="dxa"/>
            </w:tcMar>
            <w:vAlign w:val="center"/>
          </w:tcPr>
          <w:p>
            <w:r>
              <w:rPr>
                <w:b/>
              </w:rPr>
              <w:t xml:space="preserve">Type of Communication</w:t>
            </w:r>
          </w:p>
        </w:tc>
        <w:tc>
          <w:tcPr>
            <w:gridSpan w:val="3"/>
            <w:tcMar>
              <w:top w:w="90" w:type="dxa"/>
              <w:right w:w="90" w:type="dxa"/>
              <w:bottom w:w="90" w:type="dxa"/>
              <w:left w:w="90" w:type="dxa"/>
            </w:tcMar>
            <w:vAlign w:val="center"/>
          </w:tcPr>
          <w:p>
            <w:r>
              <w:rPr>
                <w:b/>
              </w:rPr>
              <w:t xml:space="preserve">Frequency</w:t>
            </w:r>
          </w:p>
        </w:tc>
      </w:tr>
      <w:tr>
        <w:tc>
          <w:tcPr>
            <w:gridSpan w:val="3"/>
            <w:tcMar>
              <w:top w:w="90" w:type="dxa"/>
              <w:right w:w="90" w:type="dxa"/>
              <w:bottom w:w="90" w:type="dxa"/>
              <w:left w:w="90" w:type="dxa"/>
            </w:tcMar>
            <w:vAlign w:val="top"/>
          </w:tcPr>
          <w:p>
            <w:r>
              <w:rPr>
                <w:sz w:val="18"/>
              </w:rPr>
              <w:t xml:space="preserve">Other</w:t>
            </w:r>
          </w:p>
        </w:tc>
        <w:tc>
          <w:tcPr>
            <w:gridSpan w:val="3"/>
            <w:tcMar>
              <w:top w:w="90" w:type="dxa"/>
              <w:right w:w="90" w:type="dxa"/>
              <w:bottom w:w="90" w:type="dxa"/>
              <w:left w:w="90" w:type="dxa"/>
            </w:tcMar>
            <w:vAlign w:val="top"/>
          </w:tcPr>
          <w:p>
            <w:r>
              <w:rPr>
                <w:sz w:val="18"/>
              </w:rPr>
              <w:t xml:space="preserve">Quarterly</w:t>
            </w:r>
          </w:p>
        </w:tc>
      </w:tr>
    </w:tbl>
    <w:p>
      <w:r>
        <w:br/>
      </w:r>
      <w:r>
        <w:br w:type="page"/>
      </w:r>
      <w:r>
        <w:lastRenderedPageBreak/>
      </w:r>
    </w:p>
    <w:tbl>
      <w:tblPr>
        <w:tblStyle w:val="TableGrid"/>
        <w:tblW w:w="0" w:type="auto"/>
      </w:tblPr>
      <w:tblGrid>
        <w:gridCol/>
        <w:gridCol/>
        <w:gridCol/>
        <w:gridCol/>
        <w:gridCol/>
        <w:gridCol/>
      </w:tblGrid>
      <w:tr>
        <w:tc>
          <w:tcPr>
            <w:gridSpan w:val="6"/>
            <w:tcMar>
              <w:top w:w="150" w:type="dxa"/>
              <w:right w:w="150" w:type="dxa"/>
              <w:bottom w:w="150" w:type="dxa"/>
              <w:left w:w="150" w:type="dxa"/>
            </w:tcMar>
            <w:vAlign w:val="center"/>
          </w:tcPr>
          <w:p>
            <w:r>
              <w:rPr>
                <w:color w:val="165998"/>
              </w:rPr>
              <w:t xml:space="preserve">Active Feedback</w:t>
            </w:r>
          </w:p>
        </w:tc>
      </w:tr>
      <w:tr>
        <w:tc>
          <w:tcPr>
            <w:tcMar>
              <w:top w:w="90" w:type="dxa"/>
              <w:right w:w="90" w:type="dxa"/>
              <w:bottom w:w="90" w:type="dxa"/>
              <w:left w:w="90" w:type="dxa"/>
            </w:tcMar>
            <w:vAlign w:val="center"/>
          </w:tcPr>
          <w:p>
            <w:r>
              <w:rPr>
                <w:b/>
              </w:rPr>
              <w:t xml:space="preserve">Action Step</w:t>
            </w:r>
          </w:p>
        </w:tc>
        <w:tc>
          <w:tcPr>
            <w:tcMar>
              <w:top w:w="90" w:type="dxa"/>
              <w:right w:w="90" w:type="dxa"/>
              <w:bottom w:w="90" w:type="dxa"/>
              <w:left w:w="90" w:type="dxa"/>
            </w:tcMar>
            <w:vAlign w:val="center"/>
          </w:tcPr>
          <w:p>
            <w:r>
              <w:rPr>
                <w:b/>
              </w:rPr>
              <w:t xml:space="preserve">Audience</w:t>
            </w:r>
          </w:p>
        </w:tc>
        <w:tc>
          <w:tcPr>
            <w:tcMar>
              <w:top w:w="90" w:type="dxa"/>
              <w:right w:w="90" w:type="dxa"/>
              <w:bottom w:w="90" w:type="dxa"/>
              <w:left w:w="90" w:type="dxa"/>
            </w:tcMar>
            <w:vAlign w:val="center"/>
          </w:tcPr>
          <w:p>
            <w:r>
              <w:rPr>
                <w:b/>
              </w:rPr>
              <w:t xml:space="preserve">Topics to be Included</w:t>
            </w:r>
          </w:p>
        </w:tc>
        <w:tc>
          <w:tcPr>
            <w:tcMar>
              <w:top w:w="90" w:type="dxa"/>
              <w:right w:w="90" w:type="dxa"/>
              <w:bottom w:w="90" w:type="dxa"/>
              <w:left w:w="90" w:type="dxa"/>
            </w:tcMar>
            <w:vAlign w:val="center"/>
          </w:tcPr>
          <w:p>
            <w:r>
              <w:rPr>
                <w:b/>
              </w:rPr>
              <w:t xml:space="preserve">Type of Communication</w:t>
            </w:r>
          </w:p>
        </w:tc>
        <w:tc>
          <w:tcPr>
            <w:tcMar>
              <w:top w:w="90" w:type="dxa"/>
              <w:right w:w="90" w:type="dxa"/>
              <w:bottom w:w="90" w:type="dxa"/>
              <w:left w:w="90" w:type="dxa"/>
            </w:tcMar>
            <w:vAlign w:val="center"/>
          </w:tcPr>
          <w:p>
            <w:r>
              <w:rPr>
                <w:b/>
              </w:rPr>
              <w:t xml:space="preserve">Anticipated Timeline Start Date</w:t>
            </w:r>
          </w:p>
        </w:tc>
        <w:tc>
          <w:tcPr>
            <w:tcMar>
              <w:top w:w="90" w:type="dxa"/>
              <w:right w:w="90" w:type="dxa"/>
              <w:bottom w:w="90" w:type="dxa"/>
              <w:left w:w="90" w:type="dxa"/>
            </w:tcMar>
            <w:vAlign w:val="center"/>
          </w:tcPr>
          <w:p>
            <w:r>
              <w:rPr>
                <w:b/>
              </w:rPr>
              <w:t xml:space="preserve">Anticipated Timeline Completion Date</w:t>
            </w:r>
          </w:p>
        </w:tc>
      </w:tr>
      <w:tr>
        <w:tc>
          <w:tcPr>
            <w:tcMar>
              <w:top w:w="90" w:type="dxa"/>
              <w:right w:w="90" w:type="dxa"/>
              <w:bottom w:w="90" w:type="dxa"/>
              <w:left w:w="90" w:type="dxa"/>
            </w:tcMar>
            <w:vAlign w:val="top"/>
          </w:tcPr>
          <w:p>
            <w:pPr>
              <w:pStyle w:val="ListParagraph"/>
              <w:numPr>
                <w:ilvl w:val="0"/>
                <w:numId w:val="27"/>
              </w:numPr>
            </w:pPr>
            <w:r>
              <w:rPr>
                <w:sz w:val="18"/>
              </w:rPr>
              <w:t xml:space="preserve">Provide timely, specific, and constructive feedback that highlights progress.</w:t>
            </w:r>
          </w:p>
        </w:tc>
        <w:tc>
          <w:tcPr>
            <w:tcMar>
              <w:top w:w="90" w:type="dxa"/>
              <w:right w:w="90" w:type="dxa"/>
              <w:bottom w:w="90" w:type="dxa"/>
              <w:left w:w="90" w:type="dxa"/>
            </w:tcMar>
            <w:vAlign w:val="top"/>
          </w:tcPr>
          <w:p>
            <w:r>
              <w:rPr>
                <w:sz w:val="18"/>
              </w:rPr>
              <w:t xml:space="preserve">Teachers and Staff</w:t>
            </w:r>
          </w:p>
        </w:tc>
        <w:tc>
          <w:tcPr>
            <w:tcMar>
              <w:top w:w="90" w:type="dxa"/>
              <w:right w:w="90" w:type="dxa"/>
              <w:bottom w:w="90" w:type="dxa"/>
              <w:left w:w="90" w:type="dxa"/>
            </w:tcMar>
            <w:vAlign w:val="top"/>
          </w:tcPr>
          <w:p>
            <w:r>
              <w:rPr>
                <w:sz w:val="18"/>
              </w:rPr>
              <w:t xml:space="preserve">Constructive Feedback to Students that is Timely and Specific, Effective Growth-Oriented that Aligns to Learning Objectives, Growth Mindset, Encouraging Accountability and Self-Monitoring</w:t>
            </w:r>
          </w:p>
        </w:tc>
        <w:tc>
          <w:tcPr>
            <w:tcMar>
              <w:top w:w="90" w:type="dxa"/>
              <w:right w:w="90" w:type="dxa"/>
              <w:bottom w:w="90" w:type="dxa"/>
              <w:left w:w="90" w:type="dxa"/>
            </w:tcMar>
            <w:vAlign w:val="top"/>
          </w:tcPr>
          <w:p>
            <w:r>
              <w:rPr>
                <w:sz w:val="18"/>
              </w:rPr>
              <w:t xml:space="preserve">Dr. Tammy Hogan: Assistant Principal
Classroom Teachers</w:t>
            </w:r>
          </w:p>
        </w:tc>
        <w:tc>
          <w:tcPr>
            <w:tcMar>
              <w:top w:w="90" w:type="dxa"/>
              <w:right w:w="90" w:type="dxa"/>
              <w:bottom w:w="90" w:type="dxa"/>
              <w:left w:w="90" w:type="dxa"/>
            </w:tcMar>
            <w:vAlign w:val="top"/>
          </w:tcPr>
          <w:p>
            <w:r>
              <w:rPr>
                <w:sz w:val="18"/>
              </w:rPr>
              <w:t xml:space="preserve">10/01/2026</w:t>
            </w:r>
          </w:p>
        </w:tc>
        <w:tc>
          <w:tcPr>
            <w:tcMar>
              <w:top w:w="90" w:type="dxa"/>
              <w:right w:w="90" w:type="dxa"/>
              <w:bottom w:w="90" w:type="dxa"/>
              <w:left w:w="90" w:type="dxa"/>
            </w:tcMar>
            <w:vAlign w:val="top"/>
          </w:tcPr>
          <w:p>
            <w:r>
              <w:rPr>
                <w:sz w:val="18"/>
              </w:rPr>
              <w:t xml:space="preserve">06/05/2029</w:t>
            </w:r>
          </w:p>
        </w:tc>
      </w:tr>
    </w:tbl>
    <w:p>
      <w:pPr>
        <w:pStyle w:val="Heading3"/>
      </w:pPr>
      <w:r>
        <w:t xml:space="preserve">Communications</w:t>
      </w:r>
    </w:p>
    <w:tbl>
      <w:tblPr>
        <w:tblStyle w:val="TableGrid"/>
        <w:tblW w:w="0" w:type="auto"/>
      </w:tblPr>
      <w:tblGrid>
        <w:gridCol/>
        <w:gridCol/>
        <w:gridCol/>
        <w:gridCol/>
        <w:gridCol/>
        <w:gridCol/>
      </w:tblGrid>
      <w:tr>
        <w:tc>
          <w:tcPr>
            <w:gridSpan w:val="3"/>
            <w:tcMar>
              <w:top w:w="90" w:type="dxa"/>
              <w:right w:w="90" w:type="dxa"/>
              <w:bottom w:w="90" w:type="dxa"/>
              <w:left w:w="90" w:type="dxa"/>
            </w:tcMar>
            <w:vAlign w:val="center"/>
          </w:tcPr>
          <w:p>
            <w:r>
              <w:rPr>
                <w:b/>
              </w:rPr>
              <w:t xml:space="preserve">Type of Communication</w:t>
            </w:r>
          </w:p>
        </w:tc>
        <w:tc>
          <w:tcPr>
            <w:gridSpan w:val="3"/>
            <w:tcMar>
              <w:top w:w="90" w:type="dxa"/>
              <w:right w:w="90" w:type="dxa"/>
              <w:bottom w:w="90" w:type="dxa"/>
              <w:left w:w="90" w:type="dxa"/>
            </w:tcMar>
            <w:vAlign w:val="center"/>
          </w:tcPr>
          <w:p>
            <w:r>
              <w:rPr>
                <w:b/>
              </w:rPr>
              <w:t xml:space="preserve">Frequency</w:t>
            </w:r>
          </w:p>
        </w:tc>
      </w:tr>
      <w:tr>
        <w:tc>
          <w:tcPr>
            <w:gridSpan w:val="3"/>
            <w:tcMar>
              <w:top w:w="90" w:type="dxa"/>
              <w:right w:w="90" w:type="dxa"/>
              <w:bottom w:w="90" w:type="dxa"/>
              <w:left w:w="90" w:type="dxa"/>
            </w:tcMar>
            <w:vAlign w:val="top"/>
          </w:tcPr>
          <w:p>
            <w:r>
              <w:rPr>
                <w:sz w:val="18"/>
              </w:rPr>
              <w:t xml:space="preserve">Other</w:t>
            </w:r>
          </w:p>
        </w:tc>
        <w:tc>
          <w:tcPr>
            <w:gridSpan w:val="3"/>
            <w:tcMar>
              <w:top w:w="90" w:type="dxa"/>
              <w:right w:w="90" w:type="dxa"/>
              <w:bottom w:w="90" w:type="dxa"/>
              <w:left w:w="90" w:type="dxa"/>
            </w:tcMar>
            <w:vAlign w:val="top"/>
          </w:tcPr>
          <w:p>
            <w:r>
              <w:rPr>
                <w:sz w:val="18"/>
              </w:rPr>
              <w:t xml:space="preserve">Twice a year to review expectations.</w:t>
            </w:r>
          </w:p>
        </w:tc>
      </w:tr>
    </w:tbl>
    <w:p>
      <w:r>
        <w:br/>
      </w:r>
      <w:r>
        <w:br/>
      </w:r>
      <w:r>
        <w:br w:type="page"/>
      </w:r>
      <w:r>
        <w:lastRenderedPageBreak/>
      </w:r>
    </w:p>
    <w:p>
      <w:pPr>
        <w:pStyle w:val="Heading1"/>
      </w:pPr>
      <w:r>
        <w:t xml:space="preserve">Approvals &amp; Signatures</w:t>
      </w:r>
    </w:p>
    <w:tbl>
      <w:tblPr>
        <w:tblStyle w:val="TableGrid"/>
        <w:tblW w:w="5000" w:type="pct"/>
      </w:tblPr>
      <w:tblGrid>
        <w:gridCol/>
      </w:tblGrid>
      <w:tr>
        <w:tc>
          <w:tcPr>
            <w:vAlign w:val="center"/>
          </w:tcPr>
          <w:p>
            <w:r>
              <w:rPr>
                <w:b/>
              </w:rPr>
              <w:t xml:space="preserve">Uploaded Files</w:t>
            </w:r>
          </w:p>
        </w:tc>
      </w:tr>
      <w:tr>
        <w:tc>
          <w:tcPr>
            <w:vAlign w:val="center"/>
          </w:tcPr>
          <w:p/>
        </w:tc>
      </w:tr>
    </w:tbl>
    <w:p/>
    <w:tbl>
      <w:tblPr>
        <w:tblStyle w:val="TableGrid"/>
        <w:tblW w:w="5000" w:type="pct"/>
      </w:tblPr>
      <w:tblGrid>
        <w:gridCol/>
        <w:gridCol/>
      </w:tblGrid>
      <w:tr>
        <w:tc>
          <w:tcPr>
            <w:vAlign w:val="center"/>
          </w:tcPr>
          <w:p>
            <w:r>
              <w:rPr>
                <w:b/>
              </w:rPr>
              <w:t xml:space="preserve">Chief School Administrator</w:t>
            </w:r>
          </w:p>
        </w:tc>
        <w:tc>
          <w:tcPr>
            <w:vAlign w:val="center"/>
          </w:tcPr>
          <w:p>
            <w:r>
              <w:rPr>
                <w:b/>
              </w:rPr>
              <w:t xml:space="preserve">Date</w:t>
            </w:r>
          </w:p>
        </w:tc>
      </w:tr>
      <w:tr>
        <w:tc>
          <w:tcPr>
            <w:vAlign w:val="center"/>
          </w:tcPr>
          <w:p/>
        </w:tc>
        <w:tc>
          <w:tcPr>
            <w:vAlign w:val="center"/>
          </w:tcPr>
          <w:p/>
        </w:tc>
      </w:tr>
      <w:tr>
        <w:tc>
          <w:tcPr>
            <w:vAlign w:val="center"/>
          </w:tcPr>
          <w:p>
            <w:r>
              <w:rPr>
                <w:b/>
              </w:rPr>
              <w:t xml:space="preserve">Building Principal Signature</w:t>
            </w:r>
          </w:p>
        </w:tc>
        <w:tc>
          <w:tcPr>
            <w:vAlign w:val="center"/>
          </w:tcPr>
          <w:p>
            <w:r>
              <w:rPr>
                <w:b/>
              </w:rPr>
              <w:t xml:space="preserve">Date</w:t>
            </w:r>
          </w:p>
        </w:tc>
      </w:tr>
      <w:tr>
        <w:tc>
          <w:tcPr>
            <w:vAlign w:val="center"/>
          </w:tcPr>
          <w:p/>
        </w:tc>
        <w:tc>
          <w:tcPr>
            <w:vAlign w:val="center"/>
          </w:tcPr>
          <w:p/>
        </w:tc>
      </w:tr>
      <w:tr>
        <w:tc>
          <w:tcPr>
            <w:vAlign w:val="center"/>
          </w:tcPr>
          <w:p>
            <w:r>
              <w:rPr>
                <w:b/>
              </w:rPr>
              <w:t xml:space="preserve">School Improvement Facilitator Signature</w:t>
            </w:r>
          </w:p>
        </w:tc>
        <w:tc>
          <w:tcPr>
            <w:vAlign w:val="center"/>
          </w:tcPr>
          <w:p>
            <w:r>
              <w:rPr>
                <w:b/>
              </w:rPr>
              <w:t xml:space="preserve">Date</w:t>
            </w:r>
          </w:p>
        </w:tc>
      </w:tr>
      <w:tr>
        <w:tc>
          <w:tcPr>
            <w:vAlign w:val="center"/>
          </w:tcPr>
          <w:p/>
        </w:tc>
        <w:tc>
          <w:tcPr>
            <w:vAlign w:val="center"/>
          </w:tcPr>
          <w:p/>
        </w:tc>
      </w:tr>
    </w:tbl>
    <w:p>
      <w:r>
        <w:br/>
      </w:r>
      <w:r>
        <w:br/>
      </w:r>
      <w:r>
        <w:br/>
      </w:r>
      <w:r>
        <w:br/>
      </w:r>
      <w:r>
        <w:br/>
      </w:r>
      <w:r>
        <w:br/>
      </w:r>
    </w:p>
    <w:sectPr>
      <w:pgSz w:w="15840" w:h="12240" w:orient="landscape"/>
      <w:pgMar w:top="720" w:right="720" w:bottom="720" w:left="720"/>
      <w:footerReference xmlns:r="http://schemas.openxmlformats.org/officeDocument/2006/relationships" r:id="R78e223923baa4535"/>
    </w:sectPr>
  </w:body>
</w:document>
</file>

<file path=word/footer1.xml><?xml version="1.0" encoding="utf-8"?>
<w:ftr xmlns:w="http://schemas.openxmlformats.org/wordprocessingml/2006/main">
  <w:p>
    <w:pPr>
      <w:pStyle w:val="Footer"/>
      <w:jc w:val="right"/>
      <w:r>
        <w:fldSimple w:instr="PAGE"/>
      </w:r>
    </w:pPr>
  </w:p>
</w:ftr>
</file>

<file path=word/numbering.xml><?xml version="1.0" encoding="utf-8"?>
<w:numbering xmlns:w="http://schemas.openxmlformats.org/wordprocessingml/2006/main">
  <w:abstractNum w:abstractNumId="0">
    <w:multiLevelType w:val="singleLevel"/>
    <w:lvl w:ilvl="0">
      <w:start w:val="1"/>
      <w:numFmt w:val="decimal"/>
      <w:lvlText w:val="%1."/>
      <w:pPr>
        <w:ind w:left="420" w:hanging="360"/>
      </w:pPr>
    </w:lvl>
  </w:abstractNum>
  <w:abstractNum w:abstractNumId="1">
    <w:multiLevelType w:val="singleLevel"/>
    <w:lvl w:ilvl="0">
      <w:numFmt w:val="bullet"/>
      <w:lvlText w:val="•"/>
      <w:pPr>
        <w:ind w:left="420" w:hanging="360"/>
      </w:pPr>
    </w:lvl>
  </w:abstractNum>
  <w:abstractNum w:abstractNumId="2">
    <w:multiLevelType w:val="singleLevel"/>
    <w:lvl w:ilvl="0">
      <w:numFmt w:val="bullet"/>
      <w:lvlText w:val="▪"/>
      <w:pPr>
        <w:ind w:left="420" w:hanging="360"/>
      </w:pPr>
    </w:lvl>
  </w:abstractNum>
  <w:abstractNum w:abstractNumId="3">
    <w:multiLevelType w:val="singleLevel"/>
    <w:lvl w:ilvl="0">
      <w:numFmt w:val="bullet"/>
      <w:lvlText w:val="o"/>
      <w:pPr>
        <w:ind w:left="420" w:hanging="360"/>
      </w:pPr>
    </w:lvl>
  </w:abstractNum>
  <w:abstractNum w:abstractNumId="4">
    <w:multiLevelType w:val="singleLevel"/>
    <w:lvl w:ilvl="0">
      <w:start w:val="1"/>
      <w:numFmt w:val="upperLetter"/>
      <w:lvlText w:val="%1."/>
      <w:pPr>
        <w:ind w:left="420" w:hanging="360"/>
      </w:pPr>
    </w:lvl>
  </w:abstractNum>
  <w:abstractNum w:abstractNumId="5">
    <w:multiLevelType w:val="singleLevel"/>
    <w:lvl w:ilvl="0">
      <w:start w:val="1"/>
      <w:numFmt w:val="lowerLetter"/>
      <w:lvlText w:val="%1."/>
      <w:pPr>
        <w:ind w:left="420" w:hanging="360"/>
      </w:pPr>
    </w:lvl>
  </w:abstractNum>
  <w:abstractNum w:abstractNumId="6">
    <w:multiLevelType w:val="singleLevel"/>
    <w:lvl w:ilvl="0">
      <w:start w:val="1"/>
      <w:numFmt w:val="upperRoman"/>
      <w:lvlText w:val="%1."/>
      <w:pPr>
        <w:ind w:left="420" w:hanging="360"/>
      </w:pPr>
    </w:lvl>
  </w:abstractNum>
  <w:abstractNum w:abstractNumId="7">
    <w:multiLevelType w:val="singleLevel"/>
    <w:lvl w:ilvl="0">
      <w:start w:val="1"/>
      <w:numFmt w:val="lowerRoman"/>
      <w:lvlText w:val="%1."/>
      <w:pPr>
        <w:ind w:left="420" w:hanging="360"/>
      </w:pPr>
    </w:lvl>
  </w:abstract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
    <w:lvlOverride w:ilvl="0">
      <w:startOverride w:val="1"/>
    </w:lvlOverride>
  </w:num>
  <w:num w:numId="12">
    <w:abstractNumId w:val="1"/>
    <w:lvlOverride w:ilvl="0">
      <w:startOverride w:val="1"/>
    </w:lvlOverride>
  </w:num>
  <w:num w:numId="13">
    <w:abstractNumId w:val="1"/>
    <w:lvlOverride w:ilvl="0">
      <w:startOverride w:val="1"/>
    </w:lvlOverride>
  </w:num>
  <w:num w:numId="14">
    <w:abstractNumId w:val="1"/>
    <w:lvlOverride w:ilvl="0">
      <w:startOverride w:val="1"/>
    </w:lvlOverride>
  </w:num>
  <w:num w:numId="15">
    <w:abstractNumId w:val="1"/>
    <w:lvlOverride w:ilvl="0">
      <w:startOverride w:val="1"/>
    </w:lvlOverride>
  </w:num>
  <w:num w:numId="16">
    <w:abstractNumId w:val="1"/>
    <w:lvlOverride w:ilvl="0">
      <w:startOverride w:val="1"/>
    </w:lvlOverride>
  </w:num>
  <w:num w:numId="17">
    <w:abstractNumId w:val="1"/>
    <w:lvlOverride w:ilvl="0">
      <w:startOverride w:val="1"/>
    </w:lvlOverride>
  </w:num>
  <w:num w:numId="18">
    <w:abstractNumId w:val="1"/>
    <w:lvlOverride w:ilvl="0">
      <w:startOverride w:val="1"/>
    </w:lvlOverride>
  </w:num>
  <w:num w:numId="19">
    <w:abstractNumId w:val="1"/>
    <w:lvlOverride w:ilvl="0">
      <w:startOverride w:val="1"/>
    </w:lvlOverride>
  </w:num>
  <w:num w:numId="20">
    <w:abstractNumId w:val="1"/>
    <w:lvlOverride w:ilvl="0">
      <w:startOverride w:val="1"/>
    </w:lvlOverride>
  </w:num>
  <w:num w:numId="21">
    <w:abstractNumId w:val="1"/>
    <w:lvlOverride w:ilvl="0">
      <w:startOverride w:val="1"/>
    </w:lvlOverride>
  </w:num>
  <w:num w:numId="22">
    <w:abstractNumId w:val="1"/>
    <w:lvlOverride w:ilvl="0">
      <w:startOverride w:val="1"/>
    </w:lvlOverride>
  </w:num>
  <w:num w:numId="23">
    <w:abstractNumId w:val="1"/>
    <w:lvlOverride w:ilvl="0">
      <w:startOverride w:val="1"/>
    </w:lvlOverride>
  </w:num>
  <w:num w:numId="24">
    <w:abstractNumId w:val="1"/>
    <w:lvlOverride w:ilvl="0">
      <w:startOverride w:val="1"/>
    </w:lvlOverride>
  </w:num>
  <w:num w:numId="25">
    <w:abstractNumId w:val="1"/>
    <w:lvlOverride w:ilvl="0">
      <w:startOverride w:val="1"/>
    </w:lvlOverride>
  </w:num>
  <w:num w:numId="26">
    <w:abstractNumId w:val="1"/>
    <w:lvlOverride w:ilvl="0">
      <w:startOverride w:val="1"/>
    </w:lvlOverride>
  </w:num>
  <w:num w:numId="27">
    <w:abstractNumId w:val="1"/>
    <w:lvlOverride w:ilvl="0">
      <w:startOverride w:val="1"/>
    </w:lvlOverride>
  </w:num>
  <w:num w:numId="28">
    <w:abstractNumId w:val="1"/>
    <w:lvlOverride w:ilvl="0">
      <w:startOverride w:val="1"/>
    </w:lvlOverride>
  </w:num>
</w:numbering>
</file>

<file path=word/styles.xml><?xml version="1.0" encoding="utf-8"?>
<w:styles xmlns:w="http://schemas.openxmlformats.org/wordprocessingml/2006/main">
  <w:style xmlns:w="http://schemas.openxmlformats.org/wordprocessingml/2006/main" w:type="paragraph" w:styleId="Heading1">
    <w:name w:val="heading 1"/>
    <w:basedOn w:val="Normal"/>
    <w:next w:val="Normal"/>
    <w:link w:val="Heading1Char"/>
    <w:qFormat/>
    <w:pPr>
      <w:keepNext/>
      <w:keepLines/>
      <w:spacing w:before="480" w:after="0"/>
      <w:outlineLvl w:val="0"/>
    </w:pPr>
    <w:rPr>
      <w:rFonts w:asciiTheme="majorHAnsi" w:hAnsiTheme="majorHAnsi" w:eastAsiaTheme="majorEastAsia" w:cstheme="majorBidi"/>
      <w:b/>
      <w:bCs/>
      <w:color w:val="2E74B5" w:themeColor="accent1" w:themeShade="BF"/>
      <w:sz w:val="28"/>
      <w:szCs w:val="28"/>
    </w:rPr>
  </w:style>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xmlns:w="http://schemas.openxmlformats.org/wordprocessingml/2006/main" w:type="paragraph" w:styleId="Heading2">
    <w:name w:val="heading 2"/>
    <w:basedOn w:val="Normal"/>
    <w:next w:val="Normal"/>
    <w:link w:val="Heading2Char"/>
    <w:unhideWhenUsed/>
    <w:qFormat/>
    <w:pPr>
      <w:keepNext/>
      <w:keepLines/>
      <w:spacing w:before="200" w:after="0"/>
      <w:outlineLvl w:val="1"/>
    </w:pPr>
    <w:rPr>
      <w:rFonts w:asciiTheme="majorHAnsi" w:hAnsiTheme="majorHAnsi" w:eastAsiaTheme="majorEastAsia" w:cstheme="majorBidi"/>
      <w:b/>
      <w:bCs/>
      <w:color w:val="5B9BD5" w:themeColor="accent1"/>
      <w:sz w:val="26"/>
      <w:szCs w:val="26"/>
    </w:rPr>
  </w:style>
  <w:style xmlns:w="http://schemas.openxmlformats.org/wordprocessingml/2006/main" w:type="paragraph" w:styleId="Heading3">
    <w:name w:val="heading 3"/>
    <w:basedOn w:val="Normal"/>
    <w:next w:val="Normal"/>
    <w:link w:val="Heading3Char"/>
    <w:unhideWhenUsed/>
    <w:qFormat/>
    <w:pPr>
      <w:keepNext/>
      <w:keepLines/>
      <w:spacing w:before="200" w:after="0"/>
      <w:outlineLvl w:val="2"/>
    </w:pPr>
    <w:rPr>
      <w:rFonts w:asciiTheme="majorHAnsi" w:hAnsiTheme="majorHAnsi" w:eastAsiaTheme="majorEastAsia" w:cstheme="majorBidi"/>
      <w:b/>
      <w:bCs/>
      <w:color w:val="5B9BD5" w:themeColor="accent1"/>
    </w:rPr>
  </w:style>
  <w:style xmlns:w="http://schemas.openxmlformats.org/wordprocessingml/2006/main" w:type="paragraph" w:styleId="ListParagraph">
    <w:name w:val="List Paragraph"/>
    <w:basedOn w:val="Normal"/>
    <w:qFormat/>
    <w:pPr>
      <w:ind w:start="720"/>
      <w:contextualSpacing/>
    </w:pPr>
  </w:style>
</w:styles>
</file>

<file path=word/_rels/document.xml.rels>&#65279;<?xml version="1.0" encoding="utf-8"?><Relationships xmlns="http://schemas.openxmlformats.org/package/2006/relationships"><Relationship Type="http://schemas.openxmlformats.org/officeDocument/2006/relationships/footer" Target="/word/footer1.xml" Id="R78e223923baa4535" /><Relationship Type="http://schemas.openxmlformats.org/officeDocument/2006/relationships/styles" Target="/word/styles.xml" Id="Rec486dc974c24f35" /><Relationship Type="http://schemas.openxmlformats.org/officeDocument/2006/relationships/numbering" Target="/word/numbering.xml" Id="Ree4a043c17cb490d" /></Relationships>
</file>